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ASND</w:t>
      </w:r>
      <w:r>
        <w:rPr>
          <w:rFonts w:ascii="Calibri" w:hAnsi="Calibri"/>
          <w:b/>
          <w:color w:val="1A2010"/>
          <w:sz w:val="40"/>
        </w:rPr>
        <w:t xml:space="preserve">  Ascendis Pharma A/S</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Denmark</w:t>
      </w:r>
    </w:p>
    <w:p>
      <w:pPr>
        <w:spacing w:after="80"/>
      </w:pPr>
      <w:r>
        <w:rPr>
          <w:rFonts w:ascii="Calibri" w:hAnsi="Calibri"/>
          <w:b w:val="0"/>
          <w:color w:val="3A4A28"/>
          <w:sz w:val="20"/>
        </w:rPr>
        <w:t>Ascendis Pharma A/S is a biopharmaceutical company that develops and commercializes TransCon-based therapies for unmet medical needs. The company's three commercial products are YORVIPATH for chronic hypoparathyroidism (blockbuster status in Q2 2026), SKYTROFA for pediatric growth hormone deficiency, and YUVIWEL (TransCon hGH). Ascendis has a pipeline of endocrinology rare disease and oncology candidates leveraging its proprietary TransCon technology platform. The company is now debt-free after redeeming $575M in convertible notes.</w:t>
      </w:r>
    </w:p>
    <w:p>
      <w:r>
        <w:rPr>
          <w:rFonts w:ascii="Calibri" w:hAnsi="Calibri"/>
          <w:b/>
          <w:color w:val="6E8450"/>
          <w:sz w:val="18"/>
        </w:rPr>
        <w:t>1,200 Employees · https://ascendispharma.com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Ascendis has executed a remarkable transformation from clinical-stage biotech to profitable commercial-stage biopharma. Three products now generate revenue: YORVIPATH achieved blockbuster status (EUR 252M in Q2 alone), SKYTROFA added EUR 55M in Q2, and newly launched YUVIWEL contributed EUR 8M [1]. Product revenue more than doubled year-over-year (+105% in Q2 2026), validating the TransCon platform's versatility across multiple endocrine indications. AI Deployment (1/2): Ascendis uses computational chemistry and data-driven approaches within its TransCon platform to optimize prodrug design and pharmacokinetics, but does not ship AI-powered products to customers or report specific AI-driven cost savings. Market Share (2/2): YORVIPATH is the first and only approved treatment for chronic hypoparathyroidism, creating an entirely new therapeutic category with no direct competition and achieving blockbuster status in Q2 2026 [1]. SKYTROFA captures meaningful share in pediatric growth hormone deficiency with differentiated once-weekly dosing. Pipeline (2/2): TransCon CNP for achondroplasia is under FDA review. The oncology pipeline includes ARES (naveprevtide) targeting solid tumors. EUR 17M collaboration milestone received for TransCon CNP from Teijin in Q2 2026 [1]. R&amp;D Intensity (0/1): R&amp;D spending as a percentage of revenue has declined naturally as the company commercializes, moving from an R&amp;D-heavy clinical stage to margin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Ascendis states commitment to core values of 'Patients, Science, and Passion' and focuses on addressing unmet medical needs through innovative rare disease therapies [2]. The purpose is clear and genuine — serving patients with rare endocrine conditions who have few or no alternatives — but the articulation is not distinctive from peer biotech mission statements. Community Impact (1/2): Ascendis publishes Sustainability and P|ESG reports since 2022 aligning with UN Sustainable Development Goals, operates patient assistance programs for rare disease therapies, and created an entirely new treatment category for hypoparathyroidism patients who previously had no approved therapy [2]. Employee Retention (1/2): CEO Jan Moller Mikkelsen has led the company for 18+ years (appointed December 2007), demonstrating exceptional leadership continuity [2]. Management team average tenure of 9.7 years and board tenure of 7.4 years reflect stability. However, Comparably leadership ratings of C- (64/100) suggest room for improvement in organizational culture as the company scales. Insider Buying (1/2): Mixed insider activity — CFO Scott Thomas and director Jean-Jacques Bienaime made multiple purchases in 2026, but officer Flemming Jensen sold $4.6M in shares, resulting in mixed net insider activity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Ascendis demonstrates exceptional financial momentum with a dramatically improved balance sheet following the full redemption of $575M in convertible notes. D/E dropped from 183.8% to 31.3% — the company is now effectively debt-free with EUR 812M in cash and no bank or convertible debt [1]. ROE of 332.7% reflects the massive profitability on a still-growing equity base. Revenue growth of 105% YoY in Q2 2026 with product revenue doubling to EUR 315M demonstrates continued acceleration [1]. Five-year revenue CAGR exceeds 80% as the company scaled from negligible revenue to over EUR 1B annualized. Forward P/E of 26.3x is the sole metric below ceiling, reflecting premium valuation for a high-growth rare disease franchise. Profit margin of 57.3% is outstanding for a biopharma company. Management guided EUR 500M+ in 2026 operating cash flow and aspires to EUR 5B+ global annual revenue by 2030 [1]. Liquidity floor cleared: 716,000 avg daily volume x $254.41 = $182M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Ascendis Pharma demonstrates strong infinite-game characteristics through its 19-year commitment to the TransCon platform technology, patient-centric rare disease focus, and founder-led consistency under CEO Mikkelsen's 18-year tenure. The company's willingness to invest through years of cumulative losses to build a differentiated platform — now validated by blockbuster YORVIPATH and three commercial products — reflects genuine long-term thinking. The debt payoff and EUR 812M cash position demonstrate the platform thesis has been fully vindicated.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Ascendis has a genuine purpose — transforming treatment for patients with rare endocrine diseases through its proprietary TransCon technology. The company spent nearly two decades developing this platform before reaching profitability, demonstrating that purpose drove strategic patience [2]. YORVIPATH created an entirely new treatment category for chronic hypoparathyroidism, directly improving quality of life for an underserved patient population. However, the mission statement itself is not distinctive enough to score at the highest level — 'making a difference for patients' is common in biotech.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average tenure of 9.7 years and board tenure of 7.4 years reflect stability, with CEO Mikkelsen's 18-year tenure providing exceptional leadership continuity [2]. The company remains lean at ~1,200 employees despite global commercial operations. However, Comparably leadership ratings of C- (64/100) and CEO score of 60/100 suggest room for improvement in organizational culture as the company scales. Recent leadership additions (new CMO, new US President) indicate appropriate organizational evolution.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Ascendis competes in the endocrinology space against established players like Novo Nordisk and Eli Lilly, and management's competitive language focuses on clinical differentiation and patient outcomes rather than market share destruction [1]. The company's approach — creating new treatment categories (hypoparathyroidism) rather than competing head-to-head on existing therapies — reflects a learn-and-improve mindset that Sinek would recognize as infinite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Ascendis has expanded from its initial endocrinology focus into oncology with the ARES (naveprevtide) program, demonstrating willingness to apply the TransCon platform to new therapeutic areas [1]. The Teijin partnership for Japan commercialization and transition from ADSs to direct ordinary share listing on NASDAQ show geographic and structural flexibility. However, these are adjacent-market extensions rather than transformative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Jan Moller Mikkelsen has led the company for 18+ years through extended pre-revenue periods, investing heavily in TransCon platform development while burning cash and accumulating losses [2]. The decision to pursue rare disease indications rather than larger-market opportunities reflects strategic discipline. The full redemption of $575M in convertible notes — choosing to clean the balance sheet rather than preserve optionality — shows conviction in the commercial trajectory [1]. However, these are standard biotech lifecycle decisions rather than examples of sacrificing profitable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Ascendis Pharma has executed one of the most impressive clinical-to-commercial transitions in recent biotech history, and Q2 2026 represents an inflection point. YORVIPATH achieved blockbuster status with EUR 252M in Q2 revenue alone, while total product revenue doubled YoY to EUR 315M [1]. The company is now effectively debt-free after redeeming $575M in convertible notes, holding EUR 812M in cash with no bank or convertible debt. Three commercial products (YORVIPATH, SKYTROFA, YUVIWEL) all derive from the validated TransCon platform, with 57% profit margins and guidance for EUR 500M+ in 2026 operating cash flow [1]. The EUR 5B+ annual revenue aspiration by 2030 implies significant growth runway. Founder-CEO Mikkelsen's 18-year leadership tenure and the platform's proven versatility across multiple indications provide rare conviction in the long-term thesis [2]. Infrastructure scores at ceiling with dramatically improved D/E of 31% and 105% revenue growth.</w:t>
      </w:r>
    </w:p>
    <w:p>
      <w:pPr>
        <w:spacing w:after="120"/>
      </w:pPr>
      <w:r>
        <w:rPr>
          <w:rFonts w:ascii="Calibri" w:hAnsi="Calibri"/>
          <w:b w:val="0"/>
          <w:color w:val="3A4A28"/>
          <w:sz w:val="20"/>
        </w:rPr>
        <w:t>The bear case centers on pipeline concentration, valuation multiple, and execution risk at scale. YORVIPATH represents approximately 70% of product revenue, creating single-product concentration risk — any safety signal, competitive entry from PTH analogs, or reimbursement challenge could materially impact results [1]. TransCon CNP FDA review carries binary risk; a CRL would remove a major pipeline catalyst. At 26.3x forward earnings, ASND is priced for flawless execution — any commercial deceleration or pipeline setback could trigger meaningful de-rating from current levels. The Comparably leadership rating of C- raises questions about organizational culture as the company scales from 1,200 employees to support global multi-product commercial operations [2]. H1 2026 profits were boosted by EUR 158M from a priority review voucher sale, a non-recurring item that inflates trailing profitability metrics. International expansion into Japan (Teijin) and broader EU markets introduces regulatory complexity and market access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TransCon CNP FDA PDUFA decision for achondroplasia — approval would add a fourth commercial product addressing a significant rare disease market with limited competition [1]</w:t>
      </w:r>
    </w:p>
    <w:p>
      <w:pPr>
        <w:spacing w:before="40" w:after="40"/>
        <w:ind w:left="283"/>
      </w:pPr>
      <w:r>
        <w:rPr>
          <w:rFonts w:ascii="Calibri" w:hAnsi="Calibri"/>
          <w:b/>
          <w:color w:val="4A6B25"/>
          <w:sz w:val="20"/>
        </w:rPr>
        <w:t xml:space="preserve">2. </w:t>
      </w:r>
      <w:r>
        <w:rPr>
          <w:rFonts w:ascii="Calibri" w:hAnsi="Calibri"/>
          <w:b w:val="0"/>
          <w:color w:val="3A4A28"/>
          <w:sz w:val="20"/>
        </w:rPr>
        <w:t>YORVIPATH's blockbuster trajectory (EUR 252M Q2 revenue) targeting EUR 5B+ annual global revenue by 2030, supported by geographic expansion including Japan via Teijin partnership and EUR 17M collaboration milestone in Q2 [1]</w:t>
      </w:r>
    </w:p>
    <w:p>
      <w:pPr>
        <w:spacing w:before="40" w:after="40"/>
        <w:ind w:left="283"/>
      </w:pPr>
      <w:r>
        <w:rPr>
          <w:rFonts w:ascii="Calibri" w:hAnsi="Calibri"/>
          <w:b/>
          <w:color w:val="4A6B25"/>
          <w:sz w:val="20"/>
        </w:rPr>
        <w:t xml:space="preserve">3. </w:t>
      </w:r>
      <w:r>
        <w:rPr>
          <w:rFonts w:ascii="Calibri" w:hAnsi="Calibri"/>
          <w:b w:val="0"/>
          <w:color w:val="3A4A28"/>
          <w:sz w:val="20"/>
        </w:rPr>
        <w:t>Debt-free balance sheet with EUR 812M cash and EUR 500M+ guided 2026 operating cash flow enables self-funded pipeline investment, M&amp;A optionality, and potential capital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YORVIPATH concentration risk — approximately 70% of product revenue from a single product with potential for competitive entry from PTH analogs or biosimilars that could compress pricing and market share [1]</w:t>
      </w:r>
    </w:p>
    <w:p>
      <w:pPr>
        <w:spacing w:before="40" w:after="40"/>
        <w:ind w:left="283"/>
      </w:pPr>
      <w:r>
        <w:rPr>
          <w:rFonts w:ascii="Calibri" w:hAnsi="Calibri"/>
          <w:b/>
          <w:color w:val="4A6B25"/>
          <w:sz w:val="20"/>
        </w:rPr>
        <w:t xml:space="preserve">2. </w:t>
      </w:r>
      <w:r>
        <w:rPr>
          <w:rFonts w:ascii="Calibri" w:hAnsi="Calibri"/>
          <w:b w:val="0"/>
          <w:color w:val="3A4A28"/>
          <w:sz w:val="20"/>
        </w:rPr>
        <w:t>Forward P/E of 26.3x prices in sustained &gt;100% revenue growth — any deceleration in YORVIPATH uptake, pipeline setback (TransCon CNP CRL), or margin compression from commercial scaling would trigger de-rating [1]</w:t>
      </w:r>
    </w:p>
    <w:p>
      <w:pPr>
        <w:spacing w:before="40" w:after="40"/>
        <w:ind w:left="283"/>
      </w:pPr>
      <w:r>
        <w:rPr>
          <w:rFonts w:ascii="Calibri" w:hAnsi="Calibri"/>
          <w:b/>
          <w:color w:val="4A6B25"/>
          <w:sz w:val="20"/>
        </w:rPr>
        <w:t xml:space="preserve">3. </w:t>
      </w:r>
      <w:r>
        <w:rPr>
          <w:rFonts w:ascii="Calibri" w:hAnsi="Calibri"/>
          <w:b w:val="0"/>
          <w:color w:val="3A4A28"/>
          <w:sz w:val="20"/>
        </w:rPr>
        <w:t>Scaling from ~1,200 employees to support global multi-product commercial operations introduces organizational execution risk, compounded by Comparably leadership rating of C- (64/100) and CEO score of 60/100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Ascendis operates in biologics manufacturing and rare disease therapeutics — a domain structurally immune to AI disruption. The value chain involves complex protein engineering (TransCon platform), clinical trials requiring physical patient enrollment, FDA/EMA regulatory approval processes, and specialty pharmacy distribution for injectable biologics [2]. AI cannot replace physical drug manufacturing, clinical trial execution, or regulatory compliance. The rare disease focus adds further protection — small patient populations require specialized medical affairs teams and patient identification programs that AI augments but cannot substitute. Biosimilar competition rather than AI substitution is the primary competitive threat. AI Opportunity (0/1): Ascendis uses computational approaches in drug design but does not generate quantifiable revenue from AI products or services. The TransCon platform is chemistry-based, not AI-driven.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Ascendis Pharma Q2 2026 Financial Results — EUR 315M product revenue (+105% YoY), YORVIPATH EUR 252M (blockbuster), SKYTROFA EUR 55M, YUVIWEL EUR 8M, EUR 17M TransCon CNP milestone, $575M convertible note redemption, EUR 812M cash, debt-free, August 2026</w:t>
      </w:r>
    </w:p>
    <w:p>
      <w:pPr>
        <w:spacing w:before="20" w:after="20"/>
        <w:ind w:left="170"/>
      </w:pPr>
      <w:r>
        <w:rPr>
          <w:rFonts w:ascii="Calibri" w:hAnsi="Calibri"/>
          <w:b/>
          <w:color w:val="4A6B25"/>
          <w:sz w:val="15"/>
        </w:rPr>
        <w:t xml:space="preserve">2. </w:t>
      </w:r>
      <w:r>
        <w:rPr>
          <w:rFonts w:ascii="Calibri" w:hAnsi="Calibri"/>
          <w:b w:val="0"/>
          <w:color w:val="3A4A28"/>
          <w:sz w:val="17"/>
        </w:rPr>
        <w:t>Ascendis Pharma Website, Comparably Ratings, Leadership Page — CEO Jan Moller Mikkelsen 18-year tenure, C- leadership rating (64/100), core values (Patients/Science/Passion), TransCon platform, P|ESG reporting,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SEC Form 4 / Insider Transaction Data — CFO Thomas purchases, Director Bienaime purchases, officer Jensen $4.6M sale, mixed net activity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financial data for ASND — stock price $254.41, PE 36.66, Forward PE 26.27, D/E 31.33%, ROE 332.65%, market cap $15.9B, avg volume 716K,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