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ASX</w:t>
      </w:r>
      <w:r>
        <w:rPr>
          <w:rFonts w:ascii="Calibri" w:hAnsi="Calibri"/>
          <w:b/>
          <w:color w:val="1A2010"/>
          <w:sz w:val="40"/>
        </w:rPr>
        <w:t xml:space="preserve">  ASE Technology Holding Co.,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2026-08-22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 Equipment &amp; Services — OSAT · NYSE · Taiwan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ASE Technology Holding Co., Ltd. is the world's largest outsourced semiconductor assembly and test (OSAT) provider, commanding approximately 28-30% global market share. Headquartered in Kaohsiung, Taiwan, ASE provides IC packaging, testing, and electronic manufacturing services, with growing leadership in advanced packaging technologies for AI and high-performance computing applications.</w:t>
      </w:r>
    </w:p>
    <w:p>
      <w:r>
        <w:rPr>
          <w:rFonts w:ascii="Calibri" w:hAnsi="Calibri"/>
          <w:b/>
          <w:color w:val="6E8450"/>
          <w:sz w:val="18"/>
        </w:rPr>
        <w:t>95,000 Employees · https://www.aseglobal.com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ASE has successfully expanded from traditional wire bonding into advanced packaging technologies including Fan-Out Chip on Substrate (FOCoS) and System-in-Package (SiP), opening significant new revenue streams in AI chip packaging [1][3]. AI Deployment (2/2): LEAP (Linking, Embedding, and Advanced Packaging) services directly serve AI accelerator and HPC chip packaging for major customers; LEAP revenue is tracking ahead of guidance with plans to double revenue in 2027 [1]. Market Share Leadership (2/2): 28-30% global OSAT market share, the undisputed category leader with dominant scale in both traditional and advanced packaging, gaining share as AI-driven advanced packaging demand surges [3]. Product Pipeline (2/2): FOCoS technology for next-generation chiplet architectures has specific customer qualifications and volume ramp timelines, with full-year ATM revenue expected to grow 35% and LEAP revenue doubling in 2027 [1]. R&amp;D Intensity (1/1): Above-average R&amp;D investment relative to OSAT peers, focused on heterogeneous integration and advanced substrate technologies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ASE's corporate sustainability framework built on four pillars — Low Carbon, Circular, Inclusive, Collaborative — demonstrates genuine intentionality beyond generic statements, though it reads more as a sustainability strategy than a transcendent purpose [5]. Community Impact (1/2): ESG performance comprises 10% of supplier evaluation scores, and the company has established sustainability disclosure standards ahead of 2027 regulatory requirements, though specific community investment programs and dollar amounts are not prominently cited [5]. Employee Retention (0/2): No publicly available employee retention data, average tenure statistics, or specific evidence of purpose-driven employee loyalty. Insider Buying (0/2): No evidence of meaningful net insider buying by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ASE's infrastructure benefits from near-target debt-to-equity (71%), strong 27% YoY revenue growth in Q2 2026, and a forward P/E of 27.7 that is elevated but reasonable given the AI-driven growth trajectory [1][4]. The primary drags are a below-target ROE of 11.6% (improving rapidly as margins expand) and a TTM net profit margin of 6.3% reflecting the lingering impact of the 2023 semiconductor downcycle on trailing twelve months [4]. Q2 2026 operating margin of 15.7% in ATM signals significant margin recovery underway. Five-year revenue CAGR of approximately 8% reflects semiconductor cyclicality but is now accelerating sharply.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ASE Technology operates with a competent finite mindset — executing exceptionally well on market-driven demand cycles but without a transcendent purpose that would define an infinite player. The company's four-pillar sustainability framework shows genuine intentionality, but strategic decisions are fundamentally driven by customer demand signals and capacity planning rather than a deeper mission to reshape the semiconductor industry.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ASE's Low Carbon, Circular, Inclusive, Collaborative framework is thoughtful but reads as a sustainability overlay on a fundamentally commercial mission — being the world's best semiconductor packaging company [5]. This is a competitive position, not an idealistic vision of a future worth sacrificing for. The company's communications focus on market share, revenue milestones, and technology leadership rather than articulating why the world needs ASE to exist.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ASE employs approximately 95,000 people globally with relatively stable leadership — COO Tien Yu Wu has served since 2018 [3]. The company's non-discrimination policies and compliance framework suggest adequate organizational governance, but no evidence of exceptional psychological safety, employee empowerment culture, or above-average retention metrics. Average for a large Taiwanese manufacturing conglomerate.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ASE's competitive posture is distinctly finite — the company emphasizes its #1 market share position, revenue leadership, and capacity scale advantages over competitors like Amkor and JCET [3]. Management commentary frames competition in win-lose terms (market share gains, capacity utilization) rather than acknowledging rivals' strengths or learning from competitive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ASE has evolved meaningfully from traditional IC packaging to advanced packaging technologies (SiP, FOCoS, LEAP), representing a significant but incremental business model extension rather than a transformative pivot [3]. The shift to serving AI chip packaging demonstrates technological adaptability within the same industry vertical. The company remains firmly anchored in semiconductor packaging — there has been no existential flexibility test requiring abandonment of core capabilities.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ASE invested in advanced packaging R&amp;D capacity during the 2023 semiconductor downcycle when industry peers pulled back, positioning itself to capture the AI packaging wave that arrived in 2024-2026 [1]. The commitment to sustainability disclosure ahead of 2027 regulatory requirements shows some proactive leadership [5]. However, these decisions were commercially rational rather than courageous sacrifices — the R&amp;D investment followed clear customer demand signals from AI chip designers.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ASE Technology is the indispensable picks-and-shovels play for the AI semiconductor buildout, with Q2 2026 revenue surging 27% YoY to TWD 191.1B and net income exploding 180% YoY as advanced packaging demand overwhelms capacity [1]. The LEAP platform — ASE's AI-focused advanced packaging technology — is tracking ahead of guidance with plans to double revenue in 2027, while the core ATM segment is guiding for 35% full-year revenue growth [1]. At 28x forward earnings, ASE trades at a meaningful discount to TSMC despite holding the dominant OSAT market position (28-30% share) in a structurally growing market [3][4].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Taiwan concentration risk — ASE's leading-edge capacity is in Taiwan, which is 'very, very full' per management, and geopolitical tensions create binary risk scenarios for the entire stock [3]. The TTM net profit margin of 6.3% reflects structural margin challenges in a capital-intensive service business, even though Q2 2026 margins are improving sharply [4]. The semiconductor industry remains cyclical, and the current AI-driven supercycle could overshoot, leaving ASE with excess capacity when the inevitable correction arrives. The forward P/E of 28x already prices in substantial growth execution.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LEAP advanced packaging revenue doubling target for 2027, driven by AI accelerator demand from major chip designers including NVIDIA and AMD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Q3 2026 guidance of 21-22% sequential revenue growth signals continued acceleration, with gross margins expanding to 20.5-21.5%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Heterogeneous integration and chiplet architecture adoption is a secular trend that structurally increases ASE's value-add per chip as Moore's Law scaling slows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Taiwan concentration risk — all leading-edge capacity is in Taiwan, where geopolitical tensions with China create existential binary risk for the stock and supply chain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Semiconductor cyclicality could cause AI demand overshoot — current supercycle pricing in 35% ATM growth may not sustain beyond 2027 if AI capex decelerates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compression from substrate and equipment constraints could limit profitability expansion, with trailing net margin of only 6.3% despite strong revenue growth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ASE is AI infrastructure — it physically packages and tests the AI chips that power the entire AI ecosystem. AI cannot displace semiconductor packaging, which requires precision physical manufacturing at nanometer scale; instead, AI expansion directly drives demand for ASE's advanced packaging services [3]. LEAP services revenue is tracking ahead of plan and growing to double by 2027, driven entirely by AI accelerator and HPC packaging demand [1]. AI Risk Protection scores 9/9 (IMMUNE) — ASE is structurally immune to AI disruption and is a primary beneficiary of AI infrastructure buildout. AI Opportunity scores 1/1 — meaningful and growing revenue from AI chip packaging through LEAP and FOCoS technologies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ASE Technology Q2 FY2026 Earnings Release and Call Highlights,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ASE Technology Q1 FY2026 Financial Results (Form 6-K),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Insider Monkey — 'ASE Technology Robust Growth Fuels AI Semiconductor Buzz,'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 — ASX statistics and valuation,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ASE Global — Corporate Sustainability Policy and ESG Reports,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ASX key statistics,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StockTitan — ASX Q2 2026 revenue growth SEC Filing,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