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ATON</w:t>
      </w:r>
      <w:r>
        <w:rPr>
          <w:rFonts w:ascii="Calibri" w:hAnsi="Calibri"/>
          <w:b/>
          <w:color w:val="1A2010"/>
          <w:sz w:val="40"/>
        </w:rPr>
        <w:t xml:space="preserve">  Alpha Compute Corp.</w:t>
      </w:r>
    </w:p>
    <w:p>
      <w:pPr>
        <w:spacing w:after="120"/>
      </w:pPr>
      <w:r>
        <w:rPr>
          <w:rFonts w:ascii="Calibri" w:hAnsi="Calibri"/>
          <w:b/>
          <w:color w:val="6E8450"/>
          <w:sz w:val="18"/>
        </w:rPr>
        <w:t>GROWTH SLEEVE · 2026-08-25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Alpha Compute Corp. (NASDAQ: ALP, formerly ATON / AlphaTON Capital / Portage Biotech) is a micro-cap technology company that has undergone three identity changes in under two years. Originally a clinical-stage oncology biotech (Portage Biotech), it rebranded as AlphaTON Capital in September 2025 to pursue TON blockchain token treasury management, then rebranded again to Alpha Compute Corp. in April 2026 pivoting to AI GPU-as-a-service and confidential computing. The company operates NVIDIA GPU clusters (H200, B200, B300) for AI inference processing and maintains a TON digital asset treasury. CEO Brittany Kaiser leads a 4-person team. Market cap approximately $8M.</w:t>
      </w:r>
    </w:p>
    <w:p>
      <w:r>
        <w:rPr>
          <w:rFonts w:ascii="Calibri" w:hAnsi="Calibri"/>
          <w:b/>
          <w:color w:val="6E8450"/>
          <w:sz w:val="18"/>
        </w:rPr>
        <w:t>4 Employees · https://www.alphacompute.com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Alpha Compute executed a complete business model pivot from failed oncology biotech (Portage Biotech) to crypto/AI infrastructure in September 2025, a dramatic transformation driven by the collapse of the prior business rather than organic innovation [4]. The company launched Cocoon AI and an inference platform on NVIDIA GPU clusters, but both are early-stage with negligible revenue. AI Deployment (1/2): Cocoon AI began generating revenue from inference processing on NVIDIA B300 GPU clusters in December 2025, and the company committed $46M to GPU expansion with partners including Telegram, Animoca Brands, and Midnight Network [1][3]. However, actual revenue scale is negligible relative to GPU-as-a-service peers, and the $46M commitment dwarfs the company's micro-cap market capitalization. Market Share (0/2): No meaningful market share in any segment — a 4-person company competing against hyperscalers (AWS, Azure, GCP) in GPU-as-a-service and against established players in the Telegram ecosystem [2]. Product Pipeline (1/2): Planned NVIDIA B300 cluster expansion and confidential compute platform represent a forward pipeline, but timelines are vague and financing is unclear given the micro-cap size and going concern disclosure [3]. R&amp;D Intensity (0/1): With only 4 employees and no disclosed R&amp;D budget, the company lacks organizational depth for sustained research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Brittany Kaiser states her mission is to 'ensure that the future of technology is built on privacy by design, not just policy and promises,' but this personal statement has not anchored the company through its serial pivots from oncology to crypto to AI [2][4]. The purpose shifts with market narratives rather than guiding strategic decisions — a pattern inconsistent with genuine organizational mission. Community Impact (0/2): No evidence of charitable programs or community investment beyond promotional press releases and CEO social media appearances. Employee Retention (0/2): Only 4 employees with average tenure of approximately 1 year — insufficient organizational mass to evaluate retention or culture [5]. Insider Buying (1/2): Management raised $44M through private placement in February 2026, demonstrating capital commitment, though the issuance was heavily dilutive to existing shareholders and does not constitute open-market insider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traded value of approximately $672K (1.77M shares x $0.38) falls below the $1M minimum threshold, resulting in an automatic Infrastructure score of 0 [5]. Even absent the liquidity floor, fundamentals are severely distressed. No trailing or forward P/E (unprofitable), TTM EPS of -$5.72 reflecting massive operating losses, and market capitalization of approximately $8M is deep micro-cap territory [5]. Revenue generation only began in December 2025 at negligible scale. The stock has declined over 90% from its 2024 highs. A going concern risk disclosure is present in filings, signaling auditor doubt about the company's ability to continue operations [3][5]. The serial rebranding and 4-person headcount compound fundamental credibility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Alpha Compute exhibits strongly finite game characteristics. The company has undergone three identity changes in under two years (Portage Biotech to AlphaTON Capital to Alpha Compute), chasing successive market narratives from biotech to crypto to AI rather than pursuing an enduring purpose [4]. The 4-person team, going concern disclosure, and promotional communication style suggest a vehicle optimized for capital raising and narrative momentum rather than building lasting organizational capability. Sinek would cite this as a textbook finite player.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company's purpose has shifted from oncology drug development to TON blockchain treasury to AI compute infrastructure in under two years, tracking market sentiment rather than advancing an enduring vision [4]. Sinek's framework requires a cause that is resilient, inclusive, and service-oriented — serial pivots optimizing for capital markets attention are the antithesis of this. The rebranding to Alpha Compute in April 2026, just months after the AlphaTON identity, confirms the pattern of finite-game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4 employees, average tenure of approximately 1 year, and a leadership structure centered on CEO Brittany Kaiser with advisory ties to Anthony Scaramucci, there is no organizational depth to evaluate for trusting teams [4][5]. The company lacks the human capital to build psychological safety or institutional knowledge. The serial rebranding creates organizational identity instability that works against team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acknowledging competitors' strengths or using competitive dynamics for self-improvement. Press releases and CEO communications position the company as a pioneer in confidential AI compute without referencing the competitive landscape of hyperscaler GPU services [1][2]. The promotional tone suggests a finite mindset focused on winning investor attention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Alpha Compute has demonstrated extreme strategic flexibility — pivoting from clinical-stage oncology biotech to crypto treasury to AI compute infrastructure within months, abandoning the entire pharmaceutical development model [4]. This represents one of the most dramatic corporate reinventions in recent small-cap history. However, the flexibility appears driven by desperation (biotech pipeline failure, going concern risk) rather than purposeful adaptation in service of a Just Cause, which is the critical distinction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Brittany Kaiser committed $46M to NVIDIA GPU infrastructure and raised $44M through private placement — amounts that dwarf the company's micro-cap market cap [2][3]. Pivoting from a failing biotech into an entirely unrelated AI infrastructure sector required conviction. However, these decisions carry existential risk for shareholders and may reflect promotional ambition rather than strategic courage grounded in organizational capability. The company's going concern disclosure suggests the courage is born of necessity rather than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 Compute (formerly AlphaTON/Portage Biotech) is a micro-cap speculative vehicle that pivoted from failed oncology biotech to AI compute infrastructure and TON blockchain treasury management [4]. The bull case rests on early revenue generation from Cocoon AI inference on NVIDIA GPU clusters since December 2025, a $46M GPU expansion commitment, partnerships with Telegram and Animoca Brands, and the $44M private placement demonstrating capital access [1][3]. At ~$8M market cap, any successful scaling of GPU-as-a-service revenue could generate outsized returns from a deeply depressed base. The confidential computing angle — privacy-preserving AI inference — addresses a real enterprise need.</w:t>
      </w:r>
    </w:p>
    <w:p>
      <w:pPr>
        <w:spacing w:after="120"/>
      </w:pPr>
      <w:r>
        <w:rPr>
          <w:rFonts w:ascii="Calibri" w:hAnsi="Calibri"/>
          <w:b w:val="0"/>
          <w:color w:val="3A4A28"/>
          <w:sz w:val="20"/>
        </w:rPr>
        <w:t>The bear case is overwhelming. A 4-person company with a micro-cap market cap and going concern disclosure is committing to $46M in GPU infrastructure — a funding gap requiring massive dilution or favorable crypto markets [3][5]. The stock has lost over 90% from its highs with daily liquidity below $1M. Three identity changes in under two years (Portage Biotech to AlphaTON to Alpha Compute) and connections to promotional figures raise serious credibility concerns [4]. The GPU-as-a-service market is dominated by AWS, Azure, and GCP with effectively infinite balance sheets, making sustainable competitive advantage nearly impossible for a 4-person operation. TTM EPS of -$5.72 reflects deep operating losses with no clear path to profitability. This is a highly speculative situation with significant risk of permanent capital loss and potential NASDAQ delisting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of AI inference revenue beyond initial levels, demonstrating product-market fit in GPU-as-a-service with confidential computing differentiation [1]</w:t>
      </w:r>
    </w:p>
    <w:p>
      <w:pPr>
        <w:spacing w:before="40" w:after="40"/>
        <w:ind w:left="283"/>
      </w:pPr>
      <w:r>
        <w:rPr>
          <w:rFonts w:ascii="Calibri" w:hAnsi="Calibri"/>
          <w:b/>
          <w:color w:val="4A6B25"/>
          <w:sz w:val="20"/>
        </w:rPr>
        <w:t xml:space="preserve">2. </w:t>
      </w:r>
      <w:r>
        <w:rPr>
          <w:rFonts w:ascii="Calibri" w:hAnsi="Calibri"/>
          <w:b w:val="0"/>
          <w:color w:val="3A4A28"/>
          <w:sz w:val="20"/>
        </w:rPr>
        <w:t>Completion of $46M NVIDIA GPU cluster expansion, which would materially increase compute capacity and revenue potential if financing is secured [3]</w:t>
      </w:r>
    </w:p>
    <w:p>
      <w:pPr>
        <w:spacing w:before="40" w:after="40"/>
        <w:ind w:left="283"/>
      </w:pPr>
      <w:r>
        <w:rPr>
          <w:rFonts w:ascii="Calibri" w:hAnsi="Calibri"/>
          <w:b/>
          <w:color w:val="4A6B25"/>
          <w:sz w:val="20"/>
        </w:rPr>
        <w:t xml:space="preserve">3. </w:t>
      </w:r>
      <w:r>
        <w:rPr>
          <w:rFonts w:ascii="Calibri" w:hAnsi="Calibri"/>
          <w:b w:val="0"/>
          <w:color w:val="3A4A28"/>
          <w:sz w:val="20"/>
        </w:rPr>
        <w:t>Appreciation in TON token treasury holdings, which could improve the balance sheet and fund operations without additional equity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and micro-cap market cap attempting $46M in capital expenditures — funding gap requires extreme dilution or favorable crypto markets to bridge [3][5]</w:t>
      </w:r>
    </w:p>
    <w:p>
      <w:pPr>
        <w:spacing w:before="40" w:after="40"/>
        <w:ind w:left="283"/>
      </w:pPr>
      <w:r>
        <w:rPr>
          <w:rFonts w:ascii="Calibri" w:hAnsi="Calibri"/>
          <w:b/>
          <w:color w:val="4A6B25"/>
          <w:sz w:val="20"/>
        </w:rPr>
        <w:t xml:space="preserve">2. </w:t>
      </w:r>
      <w:r>
        <w:rPr>
          <w:rFonts w:ascii="Calibri" w:hAnsi="Calibri"/>
          <w:b w:val="0"/>
          <w:color w:val="3A4A28"/>
          <w:sz w:val="20"/>
        </w:rPr>
        <w:t>Stock has declined over 90% from highs with daily liquidity below $1M, creating severe execution risk for any position and potential NASDAQ delisting if minimum bid price requirement is not maintained [5]</w:t>
      </w:r>
    </w:p>
    <w:p>
      <w:pPr>
        <w:spacing w:before="40" w:after="40"/>
        <w:ind w:left="283"/>
      </w:pPr>
      <w:r>
        <w:rPr>
          <w:rFonts w:ascii="Calibri" w:hAnsi="Calibri"/>
          <w:b/>
          <w:color w:val="4A6B25"/>
          <w:sz w:val="20"/>
        </w:rPr>
        <w:t xml:space="preserve">3. </w:t>
      </w:r>
      <w:r>
        <w:rPr>
          <w:rFonts w:ascii="Calibri" w:hAnsi="Calibri"/>
          <w:b w:val="0"/>
          <w:color w:val="3A4A28"/>
          <w:sz w:val="20"/>
        </w:rPr>
        <w:t>Serial rebranding (three identities in under two years) and 4-person headcount raise fundamental questions about operational capability and strategic coherence in a market dominated by hyperscaler competitors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Alpha Compute is itself an AI infrastructure bet — it deploys NVIDIA GPU clusters for inference processing and offers GPU-as-a-service with confidential computing [1][2]. This means AI is existentially central to the business model rather than a peripheral threat. The risk is not AI disruption but that the company is a marginal, unproven entrant in a market dominated by hyperscalers with trillion-dollar balance sheets. GPU-as-a-service faces intense competitive pressure from AWS, Azure, and GCP, which offer superior scale, reliability, and ecosystem integration. The concurrent exposure to TON/crypto volatility compounds risk. The 4-person team and micro-cap market cap provide zero competitive moat [3][5]. AI Opportunity (1/1): The company generates revenue from AI inference services as of December 2025 and has deployed GPU clusters for commercial workloads, qualifying for the AI opportunity point despite tiny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 Compute Advances Strategic Roadmap with Revenue Generation from Confidential AI Compute Infrastructure — Nasdaq, January 2026</w:t>
      </w:r>
    </w:p>
    <w:p>
      <w:pPr>
        <w:spacing w:before="20" w:after="20"/>
        <w:ind w:left="170"/>
      </w:pPr>
      <w:r>
        <w:rPr>
          <w:rFonts w:ascii="Calibri" w:hAnsi="Calibri"/>
          <w:b/>
          <w:color w:val="4A6B25"/>
          <w:sz w:val="15"/>
        </w:rPr>
        <w:t xml:space="preserve">2. </w:t>
      </w:r>
      <w:r>
        <w:rPr>
          <w:rFonts w:ascii="Calibri" w:hAnsi="Calibri"/>
          <w:b w:val="0"/>
          <w:color w:val="3A4A28"/>
          <w:sz w:val="17"/>
        </w:rPr>
        <w:t>Brittany Kaiser CEO — AI Infrastructure Strategy, Privacy-by-Design Mission, GPU-as-a-Service with Telegram/Animoca/Midnight Network — Benzinga, GlobeNewswire, 2026</w:t>
      </w:r>
    </w:p>
    <w:p>
      <w:pPr>
        <w:spacing w:before="20" w:after="20"/>
        <w:ind w:left="170"/>
      </w:pPr>
      <w:r>
        <w:rPr>
          <w:rFonts w:ascii="Calibri" w:hAnsi="Calibri"/>
          <w:b/>
          <w:color w:val="4A6B25"/>
          <w:sz w:val="15"/>
        </w:rPr>
        <w:t xml:space="preserve">3. </w:t>
      </w:r>
      <w:r>
        <w:rPr>
          <w:rFonts w:ascii="Calibri" w:hAnsi="Calibri"/>
          <w:b w:val="0"/>
          <w:color w:val="3A4A28"/>
          <w:sz w:val="17"/>
        </w:rPr>
        <w:t>AlphaTON Capital closes $71M financing ($36.2M equity + $35M BitGo loan), $46M GPU commitment, going concern disclosure — SEC filings, September 2025-February 2026</w:t>
      </w:r>
    </w:p>
    <w:p>
      <w:pPr>
        <w:spacing w:before="20" w:after="20"/>
        <w:ind w:left="170"/>
      </w:pPr>
      <w:r>
        <w:rPr>
          <w:rFonts w:ascii="Calibri" w:hAnsi="Calibri"/>
          <w:b/>
          <w:color w:val="4A6B25"/>
          <w:sz w:val="15"/>
        </w:rPr>
        <w:t xml:space="preserve">4. </w:t>
      </w:r>
      <w:r>
        <w:rPr>
          <w:rFonts w:ascii="Calibri" w:hAnsi="Calibri"/>
          <w:b w:val="0"/>
          <w:color w:val="3A4A28"/>
          <w:sz w:val="17"/>
        </w:rPr>
        <w:t>Anthony Scaramucci-Linked AlphaTON Rebrands As Alpha Compute In AI Pivot — Benzinga, April 2026; Portage Biotech to AlphaTON Capital rebrand September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ATON/ALP Key Statistics: Stock Price $0.38, TTM EPS -$5.72, Market Cap ~$8M, Avg Volume ~1.77M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