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BBD</w:t>
      </w:r>
      <w:r>
        <w:rPr>
          <w:rFonts w:ascii="Calibri" w:hAnsi="Calibri"/>
          <w:b/>
          <w:color w:val="1A2010"/>
          <w:sz w:val="40"/>
        </w:rPr>
        <w:t xml:space="preserve">  Banco Bradesco S.A.</w:t>
      </w:r>
    </w:p>
    <w:p>
      <w:pPr>
        <w:spacing w:after="120"/>
      </w:pPr>
      <w:r>
        <w:rPr>
          <w:rFonts w:ascii="Calibri" w:hAnsi="Calibri"/>
          <w:b/>
          <w:color w:val="6E8450"/>
          <w:sz w:val="18"/>
        </w:rPr>
        <w:t>DIVIDEND SLEEVE · 2026-08-12 · Inspire: 0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Financial Services · Banks - Regional · NYSE · Brazil</w:t>
      </w:r>
    </w:p>
    <w:p>
      <w:pPr>
        <w:spacing w:after="80"/>
      </w:pPr>
      <w:r>
        <w:rPr>
          <w:rFonts w:ascii="Calibri" w:hAnsi="Calibri"/>
          <w:b w:val="0"/>
          <w:color w:val="3A4A28"/>
          <w:sz w:val="20"/>
        </w:rPr>
        <w:t>Banco Bradesco S.A. is one of Brazil's largest private banks, founded in 1943 and headquartered in Osasco, Brazil. It operates through Banking and Insurance segments with approximately 86,000 employees, serving over 75 million customers. The bank reported its tenth consecutive quarter of profit growth in Q2 2026, with recurring net income of R$7.1B (up 16.2% YoY), total revenue of R$37.6B, and expanded loan portfolio of R$1,137B. Bradesco's proprietary AI platform BIA handles 2 billion+ customer interactions across 20 million users. Market cap approximately $32.3 billion.</w:t>
      </w:r>
    </w:p>
    <w:p>
      <w:r>
        <w:rPr>
          <w:rFonts w:ascii="Calibri" w:hAnsi="Calibri"/>
          <w:b/>
          <w:color w:val="6E8450"/>
          <w:sz w:val="18"/>
        </w:rPr>
        <w:t>86,000 Employees · https://banco.bradesco</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Bradesco has executed meaningful digital transformation over the past 5 years, building the Inovabra innovation ecosystem with 350 startup members and 50 connected corporations, launching digital bank Next, and achieving 87%+ digital transaction penetration [1][2]. The expanded loan portfolio grew 11.6% YoY to R$1,137B in Q2 2026, outpacing the National Financial System's 9.7% growth rate [1]. AI Deployment (1/2): BIA (Bradesco Inteligencia Artificial), built on IBM Watson since 2014, has processed over 2 billion customer interactions across 20 million users, handling 94% of all queries in under 3 seconds — a production-grade AI deployment with measurable customer service impact [2]. Market Share (1/2): Bradesco is Brazil's third-largest private bank by assets with stable positioning, but faces aggressive share erosion from Nubank (100M+ customers) and other digital-native fintechs in retail banking. Product Pipeline (1/2): Inovabra's six-month open innovation program and foundation model AI exploration signal next-generation fintech products, plus a digital bank expansion in Mexico, but specific launch timelines and revenue projections are undisclosed [2]. R&amp;D Intensity (1/1): Technology investment is above average for Latin American banking, with BIA development since 2014 and the Inovabra ecosystem demonstrating sustained innovation commitment.</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Bradesco's purpose focuses on financial inclusion and community development through banking services — clear and identifies beneficiaries, but not distinctively compelling compared to other large Brazilian banks. The 83-year operating history since 1943 demonstrates institutional commitment [2]. Community Impact (2/2): Bradesco is one of Brazil's largest private donors, investing BRL 1.1 billion annually in socio-environmental projects. Fundacao Bradesco operates approximately 40 schools educating over 100,000 students across Brazil — a distinctive, substantial, and long-running community program with measurable scale [3]. Employee Retention (1/2): Glassdoor rating of 4.0/5 with stable workforce through complex digital transformation. However, employee reviews cite 'very slow, rigid processes, bureaucratic, endless committees' as negatives, and no specific tenure or voluntary turnover data is available. Insider Buying (0/2): No recent evidence of meaningful net insider buying by top executives in Q2 2026. As an ADR, insider transaction visibility is limited.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dividend stock. Liquidity floor passes: 30.4M avg volume x $3.21 = $97.6M daily liquidity [4]. D/E of 72% scores (300-72)/(300-70) = 0.99 (1x weight). ROE of 13.76% scores (13.76-0)/(15-0) = 0.917 (1x weight). Revenue Growth YoY of 10.3% scores 1.0 (1x weight) [1]. Revenue Growth 5yr CAGR of 12.5% (compound from Q2 2024 to Q2 2026) scores 1.0 (1x weight). Forward P/E of 5.49 scores 1.0 (1x weight) [4]. Profit Margin of 26.07% scores 1.0 (1x weight). Payout Ratio of 43.46% scores (100-43.46)/(100-40) = 0.942 (1x weight). Consecutive Years Paid of 20+ scores 1.0 (2x weight). Consecutive Years Growth of 1 scores 1/10 = 0.10 (1x weight). 5yr Dividend Growth CAGR of 3.0% (estimated, distorted by BRL/USD forex) scores (3-0)/(6-0) = 0.50 (2x weight). Weighted sum: 0.99+0.917+1.0+1.0+1.0+1.0+0.942+(2x1.0)+0.10+(2x0.50) = 9.949. Max weighted sum = 12. Infrastructure = round(9.949/12 x 10) = round(8.29) = 8. However, the 5yr dividend growth figure is heavily forex-distorted, and consecutive years growth of just 1 reflects ADR-level volatility rather than underlying BRL dividend stability. Applying conservative adjustment for forex-driven metric uncertainty, score = 7.</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Bradesco demonstrates meaningful infinite game traits through its 83-year operating history, sustained investment in Fundacao Bradesco's 40 schools, and early AI commitment starting in 2014 well before the AI boom. The bank has endured multiple Brazilian economic crises, currency collapses, and political instability while maintaining institutional purpose. However, the organizational culture is bureaucratic by employee accounts, competitive positioning is primarily about defending market share against Nubank, and quarterly profit growth metrics dominate the narrative over transformative purpose.</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Bradesco's purpose of financial inclusion and community development through education (Fundacao Bradesco's 40 schools, 100,000+ students) represents a genuine cause that connects banking to social uplift — more distinctive than typical bank mission statements. The 83-year operating history and multi-generational educational commitment validate long-term institutional purpose. However, the cause has not been tested through transformative strategic reinvention in Sinek's sense [2][3].</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Bradesco maintains a stable leadership structure under CEO Marcelo Noronha with ten consecutive quarters of profit growth through complex organizational transformation. The bank employs approximately 86,000 people with institutional stability. However, employee reviews citing 'very slow, rigid processes, bureaucratic, endless committees' suggest a conservative organizational culture that limits trust-based empowerment. No specific voluntary turnover or employee satisfaction data available beyond Glassdoor's 4.0/5 rating [2].</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Bradesco has responded to Nubank's disruptive success by building the Inovabra ecosystem (350 startups, 50 corporations), deploying AI at scale through BIA, and fundamentally transforming its technology stack — using competitive pressure to improve rather than lobbying for regulatory barriers or engaging in destructive price wars [2].</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Bradesco has evolved from a traditional branch-heavy bank to one where 87%+ of transactions are digital, deployed AI across 2 billion+ interactions, and is expanding internationally with a digital bank in Mexico. These represent genuine strategic evolution, but they are primarily incremental adaptations to industry trends rather than transformative reinventions of the banking model [2].</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Bradesco invested in AI starting in 2014 through its IBM Watson partnership — well before AI became mainstream — demonstrating forward-looking conviction. The BRL 1.1 billion annual investment in community development through Fundacao Bradesco represents sustained commitment of resources beyond quarterly earnings [2][3]. However, no evidence of leadership making painful short-term sacrifices for long-term positioning or walking away from profitable but misaligned business lines.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Banco Bradesco is delivering strong execution on its recovery trajectory, with Q2 2026 recurring net income of R$7.1 billion (up 16.2% YoY) marking the tenth consecutive quarter of profit growth [1]. Revenue of R$37.6 billion grew 10.3% YoY with a 12.5% two-year CAGR, while the loan portfolio expanded 11.6% YoY to R$1,137B — outpacing the National Financial System's 9.7% growth [1]. Insurance subsidiary profit surged 28.3% YoY. At a forward P/E of 5.49 with 26% profit margins and 6% dividend yield, Bradesco offers compelling value for investors seeking Brazilian banking exposure with improving fundamentals and a production-grade AI platform (BIA: 2B+ interactions, 94% resolution rate) [4].</w:t>
      </w:r>
    </w:p>
    <w:p>
      <w:pPr>
        <w:spacing w:after="120"/>
      </w:pPr>
      <w:r>
        <w:rPr>
          <w:rFonts w:ascii="Calibri" w:hAnsi="Calibri"/>
          <w:b w:val="0"/>
          <w:color w:val="3A4A28"/>
          <w:sz w:val="20"/>
        </w:rPr>
        <w:t>The bear case centers on Brazil macro risk and structural competitive threats. Currency volatility severely distorts USD-denominated returns — the BBD ADR has experienced volatile multi-year swings. Debt-to-equity of 72% is moderate for a bank, but the balance sheet carries $148B in total debt against $54B cash [4]. Nubank's 100M+ customer digital-native model poses structural market share risk in retail lending and payments, growing revenue 58% YoY versus Bradesco's 10.3%. The bureaucratic organizational culture cited by employees ('endless committees and lines of approval') may limit the bank's ability to compete with agile digital-native competitors. Consecutive dividend growth of just 1 year in USD terms reflects the forex challenge that makes BBD a difficult income investment for dollar-denominated investors despite the attractive underlying yield.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Continued 16%+ annual profit growth trajectory driven by loan portfolio expansion outpacing the Brazilian national financial system, with management approaching record FY2026 earnings targets</w:t>
      </w:r>
    </w:p>
    <w:p>
      <w:pPr>
        <w:spacing w:before="40" w:after="40"/>
        <w:ind w:left="283"/>
      </w:pPr>
      <w:r>
        <w:rPr>
          <w:rFonts w:ascii="Calibri" w:hAnsi="Calibri"/>
          <w:b/>
          <w:color w:val="4A6B25"/>
          <w:sz w:val="20"/>
        </w:rPr>
        <w:t xml:space="preserve">2. </w:t>
      </w:r>
      <w:r>
        <w:rPr>
          <w:rFonts w:ascii="Calibri" w:hAnsi="Calibri"/>
          <w:b w:val="0"/>
          <w:color w:val="3A4A28"/>
          <w:sz w:val="20"/>
        </w:rPr>
        <w:t>Insurance subsidiary profit growth of 28.3% YoY provides diversification and high-margin revenue stream that differentiates Bradesco from pure-play banking competitors and fintech disruptors</w:t>
      </w:r>
    </w:p>
    <w:p>
      <w:pPr>
        <w:spacing w:before="40" w:after="40"/>
        <w:ind w:left="283"/>
      </w:pPr>
      <w:r>
        <w:rPr>
          <w:rFonts w:ascii="Calibri" w:hAnsi="Calibri"/>
          <w:b/>
          <w:color w:val="4A6B25"/>
          <w:sz w:val="20"/>
        </w:rPr>
        <w:t xml:space="preserve">3. </w:t>
      </w:r>
      <w:r>
        <w:rPr>
          <w:rFonts w:ascii="Calibri" w:hAnsi="Calibri"/>
          <w:b w:val="0"/>
          <w:color w:val="3A4A28"/>
          <w:sz w:val="20"/>
        </w:rPr>
        <w:t>Foundation model AI evolution of BIA platform (2B+ interactions, 94% resolution rate) could unlock next-generation customer acquisition and operating efficiency gains, building on demonstrated technology leadership since 2014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Brazilian macro deterioration — currency devaluation, elevated Selic rate at 14.75%, or political instability would directly compress margins and ADR valuation for foreign investors, with 5yr CAGR returns potentially negative in USD terms</w:t>
      </w:r>
    </w:p>
    <w:p>
      <w:pPr>
        <w:spacing w:before="40" w:after="40"/>
        <w:ind w:left="283"/>
      </w:pPr>
      <w:r>
        <w:rPr>
          <w:rFonts w:ascii="Calibri" w:hAnsi="Calibri"/>
          <w:b/>
          <w:color w:val="4A6B25"/>
          <w:sz w:val="20"/>
        </w:rPr>
        <w:t xml:space="preserve">2. </w:t>
      </w:r>
      <w:r>
        <w:rPr>
          <w:rFonts w:ascii="Calibri" w:hAnsi="Calibri"/>
          <w:b w:val="0"/>
          <w:color w:val="3A4A28"/>
          <w:sz w:val="20"/>
        </w:rPr>
        <w:t>Nubank and fintech disruptors continue capturing digital-native customers with structurally lower cost bases, threatening Bradesco's retail franchise in payments, personal lending, and increasingly in secured lending categories</w:t>
      </w:r>
    </w:p>
    <w:p>
      <w:pPr>
        <w:spacing w:before="40" w:after="40"/>
        <w:ind w:left="283"/>
      </w:pPr>
      <w:r>
        <w:rPr>
          <w:rFonts w:ascii="Calibri" w:hAnsi="Calibri"/>
          <w:b/>
          <w:color w:val="4A6B25"/>
          <w:sz w:val="20"/>
        </w:rPr>
        <w:t xml:space="preserve">3. </w:t>
      </w:r>
      <w:r>
        <w:rPr>
          <w:rFonts w:ascii="Calibri" w:hAnsi="Calibri"/>
          <w:b w:val="0"/>
          <w:color w:val="3A4A28"/>
          <w:sz w:val="20"/>
        </w:rPr>
        <w:t>Bureaucratic organizational culture ('endless committees,' Glassdoor 4.0/5) may slow digital transformation execution and talent retention relative to agile fintech competitors during a critical period of competitive adaptation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Banking is a regulated, relationship-intensive industry with high switching costs, deep regulatory moats (Central Bank of Brazil oversight, Basel III compliance), and physical infrastructure requirements that protect core deposit-taking and lending operations from pure AI substitution. The insurance subsidiary (Grupo Bradesco Seguros, up 28.3% YoY) is further insulated [1]. However, AI-powered neobanks like Nubank (100M+ customers, 58% revenue growth) are demonstrating that AI-native competitors can structurally undercut traditional banks in retail lending, payments, and customer service — Bradesco's retail franchise faces real competitive pressure from AI-first entrants [2]. AI Opportunity (1/1): BIA is a production-grade AI system handling 2 billion+ interactions across 20 million customers with 94% query resolution rate, delivering quantifiable customer service efficiency gains. Bradesco is exploring foundation models through its Inovabra ecosystem, generating measurable operational savings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Banco Bradesco Q2 2026 Earnings Release — R$7.1B recurring net income, 16.2% YoY growth, R$1,137B loan portfolio, 10.3% revenue growth, Investing.com/TipRanks, July 2026</w:t>
      </w:r>
    </w:p>
    <w:p>
      <w:pPr>
        <w:spacing w:before="20" w:after="20"/>
        <w:ind w:left="170"/>
      </w:pPr>
      <w:r>
        <w:rPr>
          <w:rFonts w:ascii="Calibri" w:hAnsi="Calibri"/>
          <w:b/>
          <w:color w:val="4A6B25"/>
          <w:sz w:val="15"/>
        </w:rPr>
        <w:t xml:space="preserve">2. </w:t>
      </w:r>
      <w:r>
        <w:rPr>
          <w:rFonts w:ascii="Calibri" w:hAnsi="Calibri"/>
          <w:b w:val="0"/>
          <w:color w:val="3A4A28"/>
          <w:sz w:val="17"/>
        </w:rPr>
        <w:t>Banco Bradesco AI &amp; Innovation — BIA IBM Watson partnership (2B+ interactions, 20M users, 94% resolution), Inovabra ecosystem (350 startups), IBM Case Studies/Bradesco RI, 2025-2026</w:t>
      </w:r>
    </w:p>
    <w:p>
      <w:pPr>
        <w:spacing w:before="20" w:after="20"/>
        <w:ind w:left="170"/>
      </w:pPr>
      <w:r>
        <w:rPr>
          <w:rFonts w:ascii="Calibri" w:hAnsi="Calibri"/>
          <w:b/>
          <w:color w:val="4A6B25"/>
          <w:sz w:val="15"/>
        </w:rPr>
        <w:t xml:space="preserve">3. </w:t>
      </w:r>
      <w:r>
        <w:rPr>
          <w:rFonts w:ascii="Calibri" w:hAnsi="Calibri"/>
          <w:b w:val="0"/>
          <w:color w:val="3A4A28"/>
          <w:sz w:val="17"/>
        </w:rPr>
        <w:t>Banco Bradesco ESG &amp; Community Impact — BRL 1.1B annual socio-environmental investment, Fundacao Bradesco 40 schools (100,000+ students), Bradesco Sustainability Report, 2023-2025</w:t>
      </w:r>
    </w:p>
    <w:p>
      <w:pPr>
        <w:spacing w:before="20" w:after="20"/>
        <w:ind w:left="170"/>
      </w:pPr>
      <w:r>
        <w:rPr>
          <w:rFonts w:ascii="Calibri" w:hAnsi="Calibri"/>
          <w:b/>
          <w:color w:val="4A6B25"/>
          <w:sz w:val="15"/>
        </w:rPr>
        <w:t xml:space="preserve">4. </w:t>
      </w:r>
      <w:r>
        <w:rPr>
          <w:rFonts w:ascii="Calibri" w:hAnsi="Calibri"/>
          <w:b w:val="0"/>
          <w:color w:val="3A4A28"/>
          <w:sz w:val="17"/>
        </w:rPr>
        <w:t>StockAnalysis.com / Meyka — BBD financial statistics: stock price $3.21, P/E 6.88, Forward P/E 5.49, ROE 13.76%, profit margin 26.07%, dividend yield 6.01%,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