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BEKE</w:t>
      </w:r>
      <w:r>
        <w:rPr>
          <w:rFonts w:ascii="Calibri" w:hAnsi="Calibri"/>
          <w:b/>
          <w:color w:val="1A2010"/>
          <w:sz w:val="40"/>
        </w:rPr>
        <w:t xml:space="preserve">  KE Holdings Inc.</w:t>
      </w:r>
    </w:p>
    <w:p>
      <w:pPr>
        <w:spacing w:after="120"/>
      </w:pPr>
      <w:r>
        <w:rPr>
          <w:rFonts w:ascii="Calibri" w:hAnsi="Calibri"/>
          <w:b/>
          <w:color w:val="6E8450"/>
          <w:sz w:val="18"/>
        </w:rPr>
        <w:t>GROWTH SLEEVE · 2026-08-25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Real Estate Services · NYSE · China</w:t>
      </w:r>
    </w:p>
    <w:p>
      <w:pPr>
        <w:spacing w:after="80"/>
      </w:pPr>
      <w:r>
        <w:rPr>
          <w:rFonts w:ascii="Calibri" w:hAnsi="Calibri"/>
          <w:b w:val="0"/>
          <w:color w:val="3A4A28"/>
          <w:sz w:val="20"/>
        </w:rPr>
        <w:t>KE Holdings Inc. (Beike) is China's largest integrated online and offline platform for housing transactions and services, operating through Lianjia (owned brokerage), Beike (open platform connecting agents and developers), and expanding home renovation/furnishing and rental services. Founded in 2001, headquartered in Beijing, KE Holdings facilitates existing home sales, new home sales, home renovation, and rental transactions across 400+ cities. Q2 2026 revenue was RMB24.5B (-5.7% YoY) while net income doubled to RMB2.6B on cost optimization, with existing home GTV rising 8% YoY to RMB630B.</w:t>
      </w:r>
    </w:p>
    <w:p>
      <w:r>
        <w:rPr>
          <w:rFonts w:ascii="Calibri" w:hAnsi="Calibri"/>
          <w:b/>
          <w:color w:val="6E8450"/>
          <w:sz w:val="18"/>
        </w:rPr>
        <w:t>119,245 Employees · https://www.ke.com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KE Holdings executed a transformative platform pivot from Lianjia's traditional brokerage chain to the open Beike platform, fundamentally digitizing China's fragmented real estate market and onboarding competing brokerages onto its technology stack [3]. In the last five years, the company launched two significant new revenue streams — home renovation and furnishing services and home rental services — diversifying beyond pure transaction brokerage, though these businesses are still maturing with revenue recognition adjustments impacting Q1-Q2 2026 results [1][2]. AI Deployment (1/2): In October 2025, KE Holdings' technology arm Beike Realsee partnered with Linkhome AI to develop next-generation AI and 3D visualization tools for real estate, and the company reports integrating AI capabilities into core business scenarios for service efficiency [3]. However, no specific AI-driven revenue or quantified cost savings have been disclosed. Market Share (2/2): Beike is the dominant housing platform in China, with Q2 2026 existing home GTV of RMB630B and new home GTV of RMB258B across 400+ cities and 45,000+ connected stores, maintaining clear category leadership in the world's largest residential real estate market by transaction volume [1]. Product Pipeline (1/2): The expansion of renovation/furnishing and rental services represents active product development, and the AI partnership signals next-gen investment, but specific next-generation products with named launch dates and revenue visibility have not been publicly detailed. R&amp;D Intensity (1/1): KE Holdings invests heavily in platform technology, AI, 3D virtual tours, and data infrastructure relative to real estate industry peers, consistent with its identity as a technology-driven platform rather than a traditional brokerage.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Beike's founding purpose — to bring transparency, trust, and efficiency to China's notoriously opaque real estate market — is specific, thoughtful, and deeply differentiated from peers. Founder Zuo Hui instituted a 'truthful communication' culture against an industry rife with information withholding and fraud, and his values are described as 'imprinted in the company's core DNA' [3]. This mission has genuinely shaped strategic decisions, including the risky pivot from owning Lianjia brokerages to opening the Beike platform to competitors. However, Zuo Hui passed away in May 2021, and while co-founder Peng Yongdong continues the vision, the cause has not yet been tested through a major crisis under new leadership. Community Impact (1/2): KE Holdings earned a third consecutive MSCI ESG rating upgrade to AA (from A) in 2025, and incorporated ESG metrics into executive performance appraisals with climate-related targets [4]. However, no specific charitable programs or community investment dollar amounts were identified. Employee Retention (0/2): With 119,245 employees, no specific retention, tenure, or voluntary turnover data was publicly available. Insider Buying (0/2): No evidence of meaningful net insider buying by executives was identified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KE Holdings benefits from an exceptionally clean balance sheet with D/E of just 22% (more cash than total debt) and an attractive forward valuation at 15.35x forward earnings with a PEG ratio of 0.51 — all scoring maximum points [5]. The primary drags are low profitability (profit margin 5.32% vs. 20% target) and modest ROE of 7.01% (vs. 15% target), reflecting the capital-intensive nature of China's real estate platform business. Revenue growth is negative near-term (Q1 -19% YoY, Q2 -5.7% YoY) due to revenue recognition changes in rental services and renovation business recalibration [1][2], though underlying existing home transaction GTV rose 8% YoY. The 5-year revenue CAGR of approximately 3% reflects the volatile China property cycle. Liquidity is ample at $55.5M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KE Holdings embodies a genuine founding cause — transforming China's chaotic real estate market through transparency and technology — that drove the courageous pivot from Lianjia's traditional brokerage model to the open Beike platform. Founder Zuo Hui's 'truthful communication' culture was a principled stand against an industry built on information asymmetry. However, Zuo Hui's death in May 2021 and the subsequent leadership transition to co-founder Peng Yongdong leave the company's infinite game credentials partially untested under the current regime. The profitability-focused approach in Q2 2026 (net income doubling despite revenue decline) reflects pragmatic adaptation, while the platform pivot demonstrates genuine existential flexibility.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Beike's founding cause — bringing transparency, trust, and digitization to China's fragmented and fraud-prone real estate market — is genuine, distinctive, and has shaped strategic decisions for over two decades [3]. Zuo Hui's insistence on 'truthful communication' was a radical departure from industry norms and directly led to the creation of the open Beike platform, which invited competing brokerages onto the same infrastructure. The cause is more than marketing — it drove the company to cannibalize its own Lianjia brokerage advantage to build a more transparent market. However, the cause has not been fully tested through a major strategic crisis under current post-founder leadership.</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KE Holdings maintains a workforce of 119,245 employees and has incorporated ESG metrics into executive compensation, suggesting organizational alignment [4]. The founding culture of transparency and truthful communication extends internally, and co-founder leadership provides continuity. However, no specific data on employee retention, voluntary turnover, or cultural sentiment was publicly available. The China real estate labor market has structurally high agent turnover across the industry.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KE Holdings' open platform model inherently acknowledges that competitor agents' participation strengthens the ecosystem — inviting Fang Holdings, 58.com, and local brokerages onto the Beike platform reflects an infinite competitive mindset that values industry improvement over rival destruction [3]. The focus on service quality standards and agent professionalization across the platform, including for competitors' agents, demonstrates a competitive posture oriented toward raising the industry bar rather than predatory market capture.</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KE Holdings executed a transformative business model pivot — abandoning the protective moat of Lianjia's traditional brokerage chain (which controlled the agent network and listing data) to build the open Beike platform that invited all brokerages, including competitors, onto the same technology infrastructure [3]. This was a genuinely existential bet: Lianjia was profitable and dominant, and opening the platform risked cannibalizing its competitive advantage. The pivot was driven by the founder's cause (market transparency) rather than desperation. The subsequent expansion into renovation, rental, and furnishing services represents continued strategic evolution.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Lianjia-to-Beike platform pivot required genuine courage — opening proprietary listing data and agent networks to competing brokerages sacrificed short-term competitive advantage for long-term platform value [3]. More recently, the company has accepted near-term revenue declines from business model adjustments (Q1 -19%, Q2 -5.7% YoY) while prioritizing profitability optimization, with net income doubling in Q2 2026 [1]. However, the post-founder leadership's response to the property downturn has been primarily defensive (cost optimization, share buybacks) rather than bold transformative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KE Holdings at 15.35x forward earnings with a PEG of 0.51 offers compelling value for China's dominant housing platform, which processed RMB888B in combined GTV in Q2 2026 with existing home transactions growing 8% YoY [1]. The profitability transformation is the key narrative — net income doubled in Q2 2026 to RMB2.6B with non-GAAP net margin reaching a three-year high of 13%, demonstrating that cost optimization and operational leverage can drive earnings growth even through revenue headwinds [1]. The near-minimal-debt balance sheet (D/E 22%, more cash than total debt) provides financial resilience through China's property cycle, and the platform model creates structural advantages through network effects across 119,000+ employees and 45,000+ connected stores. The home renovation and rental services diversification reduces dependence on cyclical transaction revenue.</w:t>
      </w:r>
    </w:p>
    <w:p>
      <w:pPr>
        <w:spacing w:after="120"/>
      </w:pPr>
      <w:r>
        <w:rPr>
          <w:rFonts w:ascii="Calibri" w:hAnsi="Calibri"/>
          <w:b w:val="0"/>
          <w:color w:val="3A4A28"/>
          <w:sz w:val="20"/>
        </w:rPr>
        <w:t>The fundamental risk is China's structural property market headwinds and revenue trajectory. Revenue declined 19% in Q1 and 5.7% in Q2 2026, and while management attributes this to revenue recognition changes in rental services and renovation business recalibration, the pattern signals underlying demand uncertainty in China's real estate market [1][2]. The 5-year revenue CAGR of approximately 3% reflects a property sector that may face secular decline as China's demographics shift (aging population, urbanization saturation). As a China-domiciled company listed via ADR, BEKE carries geopolitical and regulatory risk including potential delisting concerns and VIE structure vulnerability. The profit margin of 5.32% is thin for a technology platform, and ROE of 7.01% suggests the company is not generating adequate returns on its equity base. Founder Zuo Hui's death in 2021 removed the visionary leader, and the current leadership has demonstrated effective cost management but not yet proven it can drive the next phase of growth innovation. The Inspire Impact Score of 0 (MIXED) is neutral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Profitability inflection with Q2 2026 net income doubling YoY to RMB2.6B and non-GAAP margin reaching 13% three-year high, suggesting operational leverage and cost optimization are structural improvements that could sustain earnings growth even in a flat-revenue environment [1]</w:t>
      </w:r>
    </w:p>
    <w:p>
      <w:pPr>
        <w:spacing w:before="40" w:after="40"/>
        <w:ind w:left="283"/>
      </w:pPr>
      <w:r>
        <w:rPr>
          <w:rFonts w:ascii="Calibri" w:hAnsi="Calibri"/>
          <w:b/>
          <w:color w:val="4A6B25"/>
          <w:sz w:val="20"/>
        </w:rPr>
        <w:t xml:space="preserve">2. </w:t>
      </w:r>
      <w:r>
        <w:rPr>
          <w:rFonts w:ascii="Calibri" w:hAnsi="Calibri"/>
          <w:b w:val="0"/>
          <w:color w:val="3A4A28"/>
          <w:sz w:val="20"/>
        </w:rPr>
        <w:t>Existing home transaction GTV growth of 8% YoY in Q2 2026 signals improving secondary market activity in China, which could accelerate if government stimulus measures continue to support property market stabilization [1]</w:t>
      </w:r>
    </w:p>
    <w:p>
      <w:pPr>
        <w:spacing w:before="40" w:after="40"/>
        <w:ind w:left="283"/>
      </w:pPr>
      <w:r>
        <w:rPr>
          <w:rFonts w:ascii="Calibri" w:hAnsi="Calibri"/>
          <w:b/>
          <w:color w:val="4A6B25"/>
          <w:sz w:val="20"/>
        </w:rPr>
        <w:t xml:space="preserve">3. </w:t>
      </w:r>
      <w:r>
        <w:rPr>
          <w:rFonts w:ascii="Calibri" w:hAnsi="Calibri"/>
          <w:b w:val="0"/>
          <w:color w:val="3A4A28"/>
          <w:sz w:val="20"/>
        </w:rPr>
        <w:t>Home renovation and furnishing services diversification creates a higher-margin revenue stream tied to existing transaction flow — once revenue recognition adjustments normalize, this vertical could become a significant earnings contributor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property market secular decline as demographics shift — declining birth rates, aging population, and urbanization saturation could permanently reduce housing transaction volumes, compressing GTV even as the platform maintains market share [1]</w:t>
      </w:r>
    </w:p>
    <w:p>
      <w:pPr>
        <w:spacing w:before="40" w:after="40"/>
        <w:ind w:left="283"/>
      </w:pPr>
      <w:r>
        <w:rPr>
          <w:rFonts w:ascii="Calibri" w:hAnsi="Calibri"/>
          <w:b/>
          <w:color w:val="4A6B25"/>
          <w:sz w:val="20"/>
        </w:rPr>
        <w:t xml:space="preserve">2. </w:t>
      </w:r>
      <w:r>
        <w:rPr>
          <w:rFonts w:ascii="Calibri" w:hAnsi="Calibri"/>
          <w:b w:val="0"/>
          <w:color w:val="3A4A28"/>
          <w:sz w:val="20"/>
        </w:rPr>
        <w:t>ADR delisting and VIE structure risk — KE Holdings operates through a variable interest entity structure that could face regulatory challenge from either Chinese or U.S. authorities, and geopolitical tensions could restrict U.S. investor access</w:t>
      </w:r>
    </w:p>
    <w:p>
      <w:pPr>
        <w:spacing w:before="40" w:after="40"/>
        <w:ind w:left="283"/>
      </w:pPr>
      <w:r>
        <w:rPr>
          <w:rFonts w:ascii="Calibri" w:hAnsi="Calibri"/>
          <w:b/>
          <w:color w:val="4A6B25"/>
          <w:sz w:val="20"/>
        </w:rPr>
        <w:t xml:space="preserve">3. </w:t>
      </w:r>
      <w:r>
        <w:rPr>
          <w:rFonts w:ascii="Calibri" w:hAnsi="Calibri"/>
          <w:b w:val="0"/>
          <w:color w:val="3A4A28"/>
          <w:sz w:val="20"/>
        </w:rPr>
        <w:t>Revenue decline trajectory (Q1 -19%, Q2 -5.7% YoY) may reflect structural rather than temporary headwinds — if renovation and rental services fail to scale profitably, the revenue base could continue eroding while profit growth from cost-cutting hits a ceiling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KE Holdings' core business of facilitating physical real estate transactions in China involves property viewings, local market expertise, regulatory compliance (hukou systems, purchase restrictions by city), and deeply relationship-driven negotiations that AI cannot structurally replace [1]. The 45,000+ connected stores and agent network create a physical-world moat, and China's fragmented regulatory environment across 400+ cities creates complexity that automated systems cannot navigate. AI tools can enhance agent productivity (virtual tours, automated matching, pricing analytics) but cannot substitute for the physical inspection, legal documentation, and trust-building required in high-value property transactions. The home renovation and rental services similarly involve physical-world operations with local supplier networks. However, AI-powered property search and virtual tour technology could gradually reduce the number of agents needed per transaction, creating moderate efficiency pressure on commission-based revenue. AI Opportunity (0/1): While KE Holdings has partnered with Linkhome AI on 3D visualization tools and integrated AI into platform operations, no specific AI-generated revenue figures have been disclosed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KE Holdings Q2 2026 Earnings Release — Revenue RMB24.5B (-5.7% YoY), Net Income RMB2.6B (+100.8% YoY), Non-GAAP Margin 13%, Existing Home GTV RMB630B (+8%), August 2026</w:t>
      </w:r>
    </w:p>
    <w:p>
      <w:pPr>
        <w:spacing w:before="20" w:after="20"/>
        <w:ind w:left="170"/>
      </w:pPr>
      <w:r>
        <w:rPr>
          <w:rFonts w:ascii="Calibri" w:hAnsi="Calibri"/>
          <w:b/>
          <w:color w:val="4A6B25"/>
          <w:sz w:val="15"/>
        </w:rPr>
        <w:t xml:space="preserve">2. </w:t>
      </w:r>
      <w:r>
        <w:rPr>
          <w:rFonts w:ascii="Calibri" w:hAnsi="Calibri"/>
          <w:b w:val="0"/>
          <w:color w:val="3A4A28"/>
          <w:sz w:val="17"/>
        </w:rPr>
        <w:t>KE Holdings Q1 2026 Earnings Release — Revenue RMB18.9B (-19% YoY), Net Income RMB1.26B (+46.7% YoY), May 2026</w:t>
      </w:r>
    </w:p>
    <w:p>
      <w:pPr>
        <w:spacing w:before="20" w:after="20"/>
        <w:ind w:left="170"/>
      </w:pPr>
      <w:r>
        <w:rPr>
          <w:rFonts w:ascii="Calibri" w:hAnsi="Calibri"/>
          <w:b/>
          <w:color w:val="4A6B25"/>
          <w:sz w:val="15"/>
        </w:rPr>
        <w:t xml:space="preserve">3. </w:t>
      </w:r>
      <w:r>
        <w:rPr>
          <w:rFonts w:ascii="Calibri" w:hAnsi="Calibri"/>
          <w:b w:val="0"/>
          <w:color w:val="3A4A28"/>
          <w:sz w:val="17"/>
        </w:rPr>
        <w:t>KE Holdings Executive Management, Beike Platform History, Zuo Hui Legacy, Linkhome AI Partnership — Investor Relations, OnlineMarketplaces, SimplyWallSt, 2025-2026</w:t>
      </w:r>
    </w:p>
    <w:p>
      <w:pPr>
        <w:spacing w:before="20" w:after="20"/>
        <w:ind w:left="170"/>
      </w:pPr>
      <w:r>
        <w:rPr>
          <w:rFonts w:ascii="Calibri" w:hAnsi="Calibri"/>
          <w:b/>
          <w:color w:val="4A6B25"/>
          <w:sz w:val="15"/>
        </w:rPr>
        <w:t xml:space="preserve">4. </w:t>
      </w:r>
      <w:r>
        <w:rPr>
          <w:rFonts w:ascii="Calibri" w:hAnsi="Calibri"/>
          <w:b w:val="0"/>
          <w:color w:val="3A4A28"/>
          <w:sz w:val="17"/>
        </w:rPr>
        <w:t>KE Holdings 2025 ESG Report — MSCI Rating Upgraded to AA (Third Consecutive Upgrade), ESG Metrics in Executive Compensation, GlobeNewswire, April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BEKE Key Statistics: Forward P/E 15.35x, PEG 0.51, ROE 7.01%, D/E 22%, Profit Margin 5.32%, Stock Price $17.71,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