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BITF</w:t>
      </w:r>
      <w:r>
        <w:rPr>
          <w:rFonts w:ascii="Calibri" w:hAnsi="Calibri"/>
          <w:b/>
          <w:color w:val="1A2010"/>
          <w:sz w:val="40"/>
        </w:rPr>
        <w:t xml:space="preserve">  Bitfarms Ltd. (now Keel Infrastructure)</w:t>
      </w:r>
    </w:p>
    <w:p>
      <w:pPr>
        <w:spacing w:after="120"/>
      </w:pPr>
      <w:r>
        <w:rPr>
          <w:rFonts w:ascii="Calibri" w:hAnsi="Calibri"/>
          <w:b/>
          <w:color w:val="6E8450"/>
          <w:sz w:val="18"/>
        </w:rPr>
        <w:t>GROWTH SLEEVE · 2026-08-12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Bitcoin Mining / Digital Infrastructure · NASDAQ · United States</w:t>
      </w:r>
    </w:p>
    <w:p>
      <w:pPr>
        <w:spacing w:after="80"/>
      </w:pPr>
      <w:r>
        <w:rPr>
          <w:rFonts w:ascii="Calibri" w:hAnsi="Calibri"/>
          <w:b w:val="0"/>
          <w:color w:val="3A4A28"/>
          <w:sz w:val="20"/>
        </w:rPr>
        <w:t>Bitfarms Ltd., rebranding to Keel Infrastructure (ticker changed to KEEL effective April 6, 2026), is a North American digital infrastructure and energy company pivoting from Bitcoin mining to high-performance computing (HPC) and AI data centers. The company re-domiciled from Canada to the U.S., relocated headquarters to New York, and is selling Bitcoin holdings to fund its AI infrastructure strategy. Q1 2026 revenue was $37M (down 23% YoY) with a net loss of $145.4M. Market cap approximately $2.0 billion.</w:t>
      </w:r>
    </w:p>
    <w:p>
      <w:r>
        <w:rPr>
          <w:rFonts w:ascii="Calibri" w:hAnsi="Calibri"/>
          <w:b/>
          <w:color w:val="6E8450"/>
          <w:sz w:val="18"/>
        </w:rPr>
        <w:t>250 Employees · https://www.bitfarms.com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Bitfarms has executed a significant strategic pivot from pure Bitcoin mining to HPC/AI infrastructure, rebranding to Keel Infrastructure and re-domiciling to the U.S. The company sold 269 BTC for $20M to fund this transition and hired six seasoned industry executives with 20+ years average experience in digital and power infrastructure [1][2]. However, the pivot remains entirely aspirational — no AI/HPC revenue has been generated, and core mining revenue declined 23% YoY in Q1 2026. AI Deployment (1/2): Keel is building infrastructure for AI workloads targeting Nvidia Vera Rubin GPUs by Q4 2026, but has not yet deployed or generated revenue from any AI-serving capacity. The strategic intent is clear but execution is pre-revenue [2]. Market Share (1/2): A mid-tier Bitcoin miner by hash rate, competing against larger players like Marathon Digital and Riot Platforms. The company holds approximately $197M in Bitcoin. In the HPC/AI infrastructure space, Keel is a new entrant with zero market share. Product Pipeline (1/2): Concrete pipeline includes the Panther Creek expansion (350 MW), Washington site HPC conversion, and GPU-as-a-Service capabilities, but specific revenue projections and customer contracts have not been disclosed [1]. R&amp;D Intensity (1/1): Active investment in HPC conversion, hiring of specialized AI data center talent, and engagement of ASG and WWT for AI strategy consulting demonstrate commitment to technological evolution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Bitfarms/Keel's stated mission around 'digital infrastructure and energy' is generic and interchangeable with any company in the space. The rebranding itself signals fluid identity — the company has pivoted from Bitcoin mining to energy arbitrage to AI hosting, suggesting purpose follows market opportunity rather than the reverse [1]. Community Impact (0/2): No evidence of meaningful charitable giving, foundation, or community investment programs. The company has faced noise pollution complaints in Paraguay and questions about environmental sustainability of mining operations [3]. Employee Retention (0/2): CEO Ben Gagnon was appointed in July 2024 after leadership transition, and six new executives were hired in March 2026 for the HPC pivot — suggesting organizational instability and capability gaps rather than continuity. Only approximately 250 employees. Insider Buying (1/2): The extensive executive hiring with equity alignment signals management commitment, but no evidence of significant open-market insider purchases by leadership.</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Liquidity floor passes: 32.9M avg volume x $3.29 = $108.2M daily liquidity. D/E of 316% scores 0.0 (at floor of 300%) [4]. ROE of -75.64% scores 0.0 (2x weight). Revenue Growth YoY of -23% scores 0.0 (below -20% floor) [1]. Revenue Growth 5yr CAGR estimated at 15% scores 1.0 (2x weight). Forward P/E of 84.03 scores 0.0 (above 60 floor). Profit Margin of -230.59% scores 0.0. Forward PEG unavailable — excluded. Weighted sum: 0.0 + (2x0.0) + 0.0 + (2x1.0) + 0.0 + 0.0 = 2.0. Max weighted sum = 8 (excluding PEG). Infrastructure = round(2.0/8 x 10) = round(2.5) = 3. However, with D/E at 316% (above 300% floor) and deeply negative profitability, adjusting to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Bitfarms/Keel is executing a pragmatic pivot from Bitcoin mining to HPC/AI infrastructure driven by deteriorating mining economics after the Bitcoin halving rather than a deep organizational purpose. The serial identity shifts — from crypto mining to energy arbitrage to AI hosting, culminating in a corporate rebrand and re-domiciliation — reflect opportunistic adaptation. The company is playing to find the next viable business model rather than advancing a durable cause, which Sinek would characterize as finite thinking.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Keel lacks any articulated Just Cause. The company's purpose shifts with market opportunity — from sustainable Bitcoin mining to energy infrastructure to AI data centers. The rebrand from Bitfarms to Keel Infrastructure and re-domiciliation from Canada to the U.S. signal that even the organizational identity is fungible. There is no vision of a future state that transcends profit maximization or that would inspire sacrifice to advance [1][2].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hiring of six seasoned executives with 20+ years average experience in digital infrastructure and power development in March 2026 represents a deliberate organizational capability build [2]. CEO Ben Gagnon has provided strategic continuity since July 2024. However, the need to replace nearly the entire leadership team signals that the prior organization lacked necessary capabilities, and the new team's cohesion is unproven.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Keel acknowledges competitors' strengths or uses rivalry constructively. The company's competitive language focuses on its own power portfolio advantages and cost positioning rather than learning from established HPC/AI infrastructure providers like Equinix, Digital Realty, or Core Scientific, who have years of operational experience Keel lacks.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pure Bitcoin mining to HPC/AI infrastructure, including corporate rebrand, re-domiciliation, and selling Bitcoin holdings to fund AI investment, represents meaningful strategic flexibility [1]. However, this shift was driven by deteriorating mining economics (post-halving, Q1 2026 revenue down 23% YoY) rather than a purposeful decision in service of a deeper cause. The flexibility is reactive, not proactive.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Committing to sell Bitcoin holdings ($197M), rebranding the company, and investing hundreds of millions in HPC/AI conversion while core mining revenue declines demonstrates willingness to bet on transformation [1][2]. Securing $300M in Panther Creek project financing shows capital allocation conviction. However, this is increasingly standard behavior among Bitcoin miners facing post-halving economics rather than uniquely courageous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Bitfarms/Keel Infrastructure holds a 2.1 GW North American power portfolio and approximately $197M in Bitcoin, with concrete plans to convert sites for HPC/AI workloads targeting Nvidia Vera Rubin GPU hosting [2]. The Panther Creek expansion (350 MW) has secured $300M in project financing, and six experienced AI data center executives were hired in March 2026. At $3.29 per share ($2.0B market cap), the stock trades at a fraction of its power portfolio replacement value if the AI infrastructure pivot succeeds. The rebranding to Keel Infrastructure and U.S. re-domiciliation could unlock institutional investor interest.</w:t>
      </w:r>
    </w:p>
    <w:p>
      <w:pPr>
        <w:spacing w:after="120"/>
      </w:pPr>
      <w:r>
        <w:rPr>
          <w:rFonts w:ascii="Calibri" w:hAnsi="Calibri"/>
          <w:b w:val="0"/>
          <w:color w:val="3A4A28"/>
          <w:sz w:val="20"/>
        </w:rPr>
        <w:t>The bear case is severe: Q1 2026 revenue declined 23% YoY to $37M with a net loss of $145.4M, operating loss of $98M, and profit margin of -230.59% [1]. Debt-to-equity of 316% and ROE of -75.64% reflect a deeply distressed balance sheet burdened by convertible debt obligations [4]. The HPC/AI pivot has generated zero revenue and competes against hyperscalers and established data center operators (Equinix, Digital Realty) with dramatically greater scale, capital, and customer relationships. The company is selling its Bitcoin holdings ($20M of BTC in Q1) to fund operations — a sign of capital constraint. Financial misclassification allegations regarding digital asset sales and warrant accounting raise governance concerns [3]. The serial identity changes (crypto miner to Keel Infrastructure) suggest a company searching for viability rather than executing against a proven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Washington site HPC/AI conversion completion by Q4 2026 with Nvidia Vera Rubin GPU hosting could generate the company's first AI infrastructure revenue and validate the pivot thesis</w:t>
      </w:r>
    </w:p>
    <w:p>
      <w:pPr>
        <w:spacing w:before="40" w:after="40"/>
        <w:ind w:left="283"/>
      </w:pPr>
      <w:r>
        <w:rPr>
          <w:rFonts w:ascii="Calibri" w:hAnsi="Calibri"/>
          <w:b/>
          <w:color w:val="4A6B25"/>
          <w:sz w:val="20"/>
        </w:rPr>
        <w:t xml:space="preserve">2. </w:t>
      </w:r>
      <w:r>
        <w:rPr>
          <w:rFonts w:ascii="Calibri" w:hAnsi="Calibri"/>
          <w:b w:val="0"/>
          <w:color w:val="3A4A28"/>
          <w:sz w:val="20"/>
        </w:rPr>
        <w:t>Panther Creek 350 MW expansion with $300M secured financing provides long-term growth capacity if hyperscaler or enterprise customer contracts materialize</w:t>
      </w:r>
    </w:p>
    <w:p>
      <w:pPr>
        <w:spacing w:before="40" w:after="40"/>
        <w:ind w:left="283"/>
      </w:pPr>
      <w:r>
        <w:rPr>
          <w:rFonts w:ascii="Calibri" w:hAnsi="Calibri"/>
          <w:b/>
          <w:color w:val="4A6B25"/>
          <w:sz w:val="20"/>
        </w:rPr>
        <w:t xml:space="preserve">3. </w:t>
      </w:r>
      <w:r>
        <w:rPr>
          <w:rFonts w:ascii="Calibri" w:hAnsi="Calibri"/>
          <w:b w:val="0"/>
          <w:color w:val="3A4A28"/>
          <w:sz w:val="20"/>
        </w:rPr>
        <w:t>U.S. re-domiciliation and Keel Infrastructure rebranding could attract institutional investors who previously avoided Canadian-domiciled crypto mining stocks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Zero HPC/AI revenue track record creates existential execution risk — the company must simultaneously build AI infrastructure, attract customers, and manage declining mining revenue during a cash-constrained transition period</w:t>
      </w:r>
    </w:p>
    <w:p>
      <w:pPr>
        <w:spacing w:before="40" w:after="40"/>
        <w:ind w:left="283"/>
      </w:pPr>
      <w:r>
        <w:rPr>
          <w:rFonts w:ascii="Calibri" w:hAnsi="Calibri"/>
          <w:b/>
          <w:color w:val="4A6B25"/>
          <w:sz w:val="20"/>
        </w:rPr>
        <w:t xml:space="preserve">2. </w:t>
      </w:r>
      <w:r>
        <w:rPr>
          <w:rFonts w:ascii="Calibri" w:hAnsi="Calibri"/>
          <w:b w:val="0"/>
          <w:color w:val="3A4A28"/>
          <w:sz w:val="20"/>
        </w:rPr>
        <w:t>Debt-to-equity of 316% with convertible notes represents severe dilution risk if the stock price remains depressed and notes convert at unfavorable terms, further eroding existing shareholder value</w:t>
      </w:r>
    </w:p>
    <w:p>
      <w:pPr>
        <w:spacing w:before="40" w:after="40"/>
        <w:ind w:left="283"/>
      </w:pPr>
      <w:r>
        <w:rPr>
          <w:rFonts w:ascii="Calibri" w:hAnsi="Calibri"/>
          <w:b/>
          <w:color w:val="4A6B25"/>
          <w:sz w:val="20"/>
        </w:rPr>
        <w:t xml:space="preserve">3. </w:t>
      </w:r>
      <w:r>
        <w:rPr>
          <w:rFonts w:ascii="Calibri" w:hAnsi="Calibri"/>
          <w:b w:val="0"/>
          <w:color w:val="3A4A28"/>
          <w:sz w:val="20"/>
        </w:rPr>
        <w:t>Financial misclassification allegations regarding digital asset sales and warrant accounting raise governance concerns about management transparency during a period requiring investor trust in an unproven strategic pivot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Bitcoin mining's core business is physically intensive and not directly threatened by AI substitution — mining requires energy infrastructure, specialized hardware, and real estate. However, AI data center demand is driving up energy costs and competing for the same power infrastructure that miners depend on, creating indirect economic pressure on mining profitability. The company's pivot to HPC/AI infrastructure transforms it from an AI-pressured business to a potential AI beneficiary, but this transformation is entirely pre-revenue with zero HPC customers as of Q1 2026 [1][2]. AI Opportunity (1/1): Keel is building AI infrastructure including the Panther Creek expansion (350 MW) and Washington site HPC conversion, hiring six specialized AI data center executives, and targeting Nvidia Vera Rubin GPU hosting. The $300M Panther Creek project financing is secured. While pre-revenue, the strategic commitment to AI infrastructure is concrete and funded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Bitfarms/Keel Q1 2026 Financial Results — Revenue $37M (down 23% YoY), net loss $145.4M, operating loss $98M, SEC 6-K Filing, May 2026</w:t>
      </w:r>
    </w:p>
    <w:p>
      <w:pPr>
        <w:spacing w:before="20" w:after="20"/>
        <w:ind w:left="170"/>
      </w:pPr>
      <w:r>
        <w:rPr>
          <w:rFonts w:ascii="Calibri" w:hAnsi="Calibri"/>
          <w:b/>
          <w:color w:val="4A6B25"/>
          <w:sz w:val="15"/>
        </w:rPr>
        <w:t xml:space="preserve">2. </w:t>
      </w:r>
      <w:r>
        <w:rPr>
          <w:rFonts w:ascii="Calibri" w:hAnsi="Calibri"/>
          <w:b w:val="0"/>
          <w:color w:val="3A4A28"/>
          <w:sz w:val="17"/>
        </w:rPr>
        <w:t>Bitfarms Leadership Expansion and HPC/AI Strategy — Six executive hires, Vera Rubin GPU targeting, Panther Creek financing, Press Release March 2026</w:t>
      </w:r>
    </w:p>
    <w:p>
      <w:pPr>
        <w:spacing w:before="20" w:after="20"/>
        <w:ind w:left="170"/>
      </w:pPr>
      <w:r>
        <w:rPr>
          <w:rFonts w:ascii="Calibri" w:hAnsi="Calibri"/>
          <w:b/>
          <w:color w:val="4A6B25"/>
          <w:sz w:val="15"/>
        </w:rPr>
        <w:t xml:space="preserve">3. </w:t>
      </w:r>
      <w:r>
        <w:rPr>
          <w:rFonts w:ascii="Calibri" w:hAnsi="Calibri"/>
          <w:b w:val="0"/>
          <w:color w:val="3A4A28"/>
          <w:sz w:val="17"/>
        </w:rPr>
        <w:t>Bitfarms ESG, Financial Misclassification Allegations, and Environmental Reporting — Benzinga, TimothySykes, SEC Filings,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KEEL/BITF key statistics: stock price $3.29, market cap $2.0B, D/E 316%, ROE -75.64%, profit margin -230.59%,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