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BKD</w:t>
      </w:r>
      <w:r>
        <w:rPr>
          <w:rFonts w:ascii="Calibri" w:hAnsi="Calibri"/>
          <w:b/>
          <w:color w:val="1A2010"/>
          <w:sz w:val="40"/>
        </w:rPr>
        <w:t xml:space="preserve">  Brookdale Senior Living Inc.</w:t>
      </w:r>
    </w:p>
    <w:p>
      <w:pPr>
        <w:spacing w:after="120"/>
      </w:pPr>
      <w:r>
        <w:rPr>
          <w:rFonts w:ascii="Calibri" w:hAnsi="Calibri"/>
          <w:b/>
          <w:color w:val="6E8450"/>
          <w:sz w:val="18"/>
        </w:rPr>
        <w:t>GROWTH SLEEVE · 2026-08-25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Brookdale Senior Living is the largest operator of senior living communities in the United States, operating 500+ communities with approximately 42,820 units across independent living, assisted living, memory care, and continuing care retirement. Headquartered in Brentwood, Tennessee, Brookdale serves approximately 60,000 residents. Under CEO Nikolas W. Stengle (since October 2025), the company is executing portfolio optimization and occupancy recovery, with Q2 2026 consolidated occupancy reaching 82.4% (+230 bps YoY) and RevPAR growth of 8.2%. Market cap is $2.89B.</w:t>
      </w:r>
    </w:p>
    <w:p>
      <w:r>
        <w:rPr>
          <w:rFonts w:ascii="Calibri" w:hAnsi="Calibri"/>
          <w:b/>
          <w:color w:val="6E8450"/>
          <w:sz w:val="18"/>
        </w:rPr>
        <w:t>33,000 Employees · https://www.brookdale.com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Nikolas Stengle (since October 2025) is driving meaningful operational improvements — occupancy rose 230 basis points YoY to 82.4% in Q2 2026, and the company is executing portfolio rationalization while acquiring strategic communities (Brookdale Galleria for $23.4M, a 17-community leased portfolio for ~$157M closing Q4 2026) [1][2]. This represents one significant operational transformation, though it is restructuring and optimization rather than product innovation. AI Deployment (1/2): Brookdale has deployed AI-enabled falls detection through WellnessAI using video review in Select Clare Bridge memory care communities, and utilizes predictive analytics to anticipate resident health concerns [3]. These are shipping deployments with operational impact, though no quantified cost savings or revenue from AI have been disclosed. Market Share (2/2): Brookdale is the largest U.S. senior living operator by community count (500+ communities in 41 states), maintaining clear category leadership in a highly fragmented industry with thousands of smaller operators [1]. No competitor approaches Brookdale's national scale and brand recognition. Product Pipeline (0/2): Management guided 8-9% RevPAR growth for full year 2026, but no specific next-generation products, service categories, or technology platforms with named launch dates and revenue visibility were identified. R&amp;D Intensity (0/1): No meaningful R&amp;D spend. Senior living is a real estate operations and healthcare services business; innovation occurs through operational execution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Brookdale's purpose centers on empowering seniors to live with dignity, connection, and purpose, supported by cornerstones of passion, courage, partnership, and trust [3]. The mission is clear and identifies what the company does and for whom, but it is not distinctive — it could apply to any senior living operator — and does not articulate a transformative vision beyond the baseline expectation for the industry. Community Impact (1/2): Brookdale operates communities serving elderly populations across 41 states, contributing meaningfully to community welfare by providing essential care services for aging Americans. The company is Energy Star compliant in 500+ communities and integrates ESG into long-term corporate strategy [4]. However, no standout charitable programs with specific dollar amounts or unique community investment initiatives were identified. Employee Retention (0/2): The senior living industry faces chronic staffing challenges with high turnover rates, particularly among frontline caregivers. No specific retention data, employee satisfaction metrics, or evidence of above-average workforce stability was found for Brookdale's approximately 33,000 employees. Insider Buying (0/2): No evidence of meaningful net insider buying by CEO Stengle or other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Brookdale's financial profile reflects a highly leveraged senior living operator in turnaround mode. Shareholders' equity is negative (-$27.6M) against total debt of $5.49B, making D/E incalculable and scoring at the floor [5]. ROE of -349.58% is deeply negative (negative equity amplification), scoring at the floor. Revenue growth is negative at -8% YoY (Q2 revenue $718.6M, down 8.7% YoY, partly from portfolio sales) and approximately -2% 5-year CAGR [1][5]. Profit margin of -4.72% scores at the floor. Forward P/E of 634.55 reflects barely positive expected earnings, scoring at the floor. The only positive contributors are slight credit from revenue growth being above the -20% floor. Adjusted EBITDA of $122.1M in Q2 2026 (+4.3% YoY) and full-year guidance of $502-516M suggest operational improvement, and Q2 EPS of $0.10 beat the expected -$0.06 loss, but GAAP profitability remains marginal with an Altman Z-Score of -0.15 indicating financial distress [1][5]. Liquidity is adequate at $62M daily trading value and $566M total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Brookdale's position as the largest U.S. senior living operator serving an aging population suggests a natural infinite game orientation — the need for senior care will persist indefinitely. However, the company's recent history of CEO turnover, financial distress, negative equity, and reactive portfolio restructuring reveals finite-game pressures dominating strategic decisions. The current transformation under CEO Stengle shows operational improvement (occupancy rising to 82.4%, Adj EBITDA growing, loss narrowing) but remains early-stage, and the $5.49B debt burden limits the company's ability to invest for the long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Brookdale has a purpose statement around empowering seniors to live with dignity, connection, and purpose, but it reads as standard industry marketing rather than a deeply held Just Cause that drives strategic decisions [3]. The company has cycled through multiple CEOs — most recently installing Nikolas Stengle in October 2025 — and has pursued shifting strategies (expansion, contraction, management contracts, ownership), suggesting the purpose does not anchor long-term decision-making. A true Just Cause would provide continuity through leadership transitions, and Brookdale's strategic pivots appear driven by financial necessity rather than mission conviction.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to Nikolas Stengle was orderly, and new C-suite hires including a Chief Sales Officer suggest deliberate leadership team building [2]. The company's ability to maintain operations across 500+ communities during a leadership transition demonstrates baseline organizational resilience. However, the senior living industry faces chronic staffing challenges with high turnover among frontline caregivers, and employee reviews describe corporate leadership as heavily centralized with limited community-level autonomy [3]. No specific employee satisfaction or retention data was identified to distinguish Brookdale from industry averages.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Brookdale operates in a highly competitive, fragmented senior living market alongside operators like Sunrise Senior Living and numerous regional competitors. Management's focus on RevPAR growth, occupancy improvement, and operational excellence metrics reflects a learning orientation toward competition — competing on quality of service and outcomes rather than pursuing scale dominance at any cost [1]. The willingness to sell 29 communities to reach 'fighting weight' rather than clinging to size for its own sake demonstrates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Brookdale's portfolio rationalization represents a meaningful strategic shift — downsizing from a peak community count to focus on owned, higher-quality communities, with 99 communities now above 95% occupancy [1][2]. The transition from a management/lease-heavy model to an ownership-focused model reshapes the business structure. However, the core business model — operating senior living communities — remains unchanged, and the restructuring was driven by financial distress and leverage constraints rather than a visionary reimagination of senior care delivery.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Stengle, Brookdale is executing portfolio rationalization — selling underperforming communities and acquiring strategic ones ($23.4M Brookdale Galleria, ~$157M 17-community leased portfolio) while maintaining 8-9% RevPAR growth guidance [1][2]. The willingness to shrink the portfolio to improve quality requires genuine courage for the industry's largest operator. The company also proactively addressed balance sheet risks, improving liquidity to $566M and reducing leverage from 8.8x to 8.4x. However, both moves were arguably forced by financial necessity rather than proactive strategic choice, and the $5.49B debt burden constrains truly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Brookdale Senior Living offers a demographic-driven turnaround thesis anchored by the most powerful secular trend in U.S. healthcare — the aging Baby Boomer population turning 80+ over the next decade. As the largest U.S. senior living operator with 500+ communities, Brookdale is positioned to capture accelerating demand with occupancy rising to 82.4% (+230 bps YoY) and consolidated RevPAR growing 8.2% in Q2 2026 [1]. The profitability inflection is emerging — Q2 EPS of $0.10 beat the expected -$0.06 loss, Adjusted EBITDA reached $122.1M, and the company reaffirmed full-year guidance of $502-516M Adjusted EBITDA [1]. With 99 communities now above 95% occupancy and leverage improving from 8.8x to 8.4x, the operational trajectory is positive. AI resilience is exceptionally strong — hands-on caregiving for elderly residents is one of the most AI-immune business models in the economy. The Inspire Impact Score of 31 (ALIGNED) adds appeal for faith-based investors.</w:t>
      </w:r>
    </w:p>
    <w:p>
      <w:pPr>
        <w:spacing w:after="120"/>
      </w:pPr>
      <w:r>
        <w:rPr>
          <w:rFonts w:ascii="Calibri" w:hAnsi="Calibri"/>
          <w:b w:val="0"/>
          <w:color w:val="3A4A28"/>
          <w:sz w:val="20"/>
        </w:rPr>
        <w:t>The bear case is dominated by balance sheet risk and path to sustained profitability. Total debt of $5.49B against negative shareholders' equity of -$27.6M and an Altman Z-Score of -0.15 place Brookdale firmly in financial distress territory [5]. The company remains near GAAP breakeven with profit margin of -4.72% and a forward P/E of 634.55 that reflects barely positive expected earnings, making traditional valuation impossible. Revenue declined 8.7% YoY in Q2 2026 to $718.6M (partly from portfolio sales of communities), and the 5-year revenue CAGR of -2% indicates the company has failed to translate demographic tailwinds into revenue growth [1][5]. The senior living industry faces structural headwinds including chronic labor shortages driving wage inflation (labor at 45.2% of revenue), rising insurance costs, and regulatory burden. CEO turnover (Stengle is the latest in a series of leadership changes since October 2025) suggests strategic instability, and 211 communities still below 80% occupancy represent a significant underperformance tail. Interest expense on $5.49B in debt consumes significant cash flow, and until Brookdale achieves sustained GAAP profitability and deleveraging, the equity remains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occupancy recovery toward 85%+ as Baby Boomer demand intensifies, with 99 communities already above 95% and management guiding full-year 2026 occupancy to approximately 83% with 8-9% RevPAR growth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 Q2 2026 EPS of $0.10 (beat -$0.06 expected) signals the inflection point, with Adjusted EBITDA guided to $502-516M for full year 2026 and leverage improving from 8.8x to 8.4x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pipeline including the ~$157M 17-community leased portfolio (735 units, closing Q4 2026) adding scale in targeted markets while portfolio rationalization removes underperformers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$5.49B total debt, negative equity of -$27.6M, and Altman Z-Score of -0.15 creates existential refinancing risk — any disruption in credit markets or deterioration in operating performance could trigger covenant violations or liquidity crisis [5]</w:t>
      </w:r>
    </w:p>
    <w:p>
      <w:pPr>
        <w:spacing w:before="40" w:after="40"/>
        <w:ind w:left="283"/>
      </w:pPr>
      <w:r>
        <w:rPr>
          <w:rFonts w:ascii="Calibri" w:hAnsi="Calibri"/>
          <w:b/>
          <w:color w:val="4A6B25"/>
          <w:sz w:val="20"/>
        </w:rPr>
        <w:t xml:space="preserve">2. </w:t>
      </w:r>
      <w:r>
        <w:rPr>
          <w:rFonts w:ascii="Calibri" w:hAnsi="Calibri"/>
          <w:b w:val="0"/>
          <w:color w:val="3A4A28"/>
          <w:sz w:val="20"/>
        </w:rPr>
        <w:t>Chronic labor shortages and wage inflation in senior living caregiving threaten margin recovery — labor expense at 45.2% of revenue is the largest cost center, and 33,000+ employees compete for the same healthcare workers as hospitals and home health agencies [1]</w:t>
      </w:r>
    </w:p>
    <w:p>
      <w:pPr>
        <w:spacing w:before="40" w:after="40"/>
        <w:ind w:left="283"/>
      </w:pPr>
      <w:r>
        <w:rPr>
          <w:rFonts w:ascii="Calibri" w:hAnsi="Calibri"/>
          <w:b/>
          <w:color w:val="4A6B25"/>
          <w:sz w:val="20"/>
        </w:rPr>
        <w:t xml:space="preserve">3. </w:t>
      </w:r>
      <w:r>
        <w:rPr>
          <w:rFonts w:ascii="Calibri" w:hAnsi="Calibri"/>
          <w:b w:val="0"/>
          <w:color w:val="3A4A28"/>
          <w:sz w:val="20"/>
        </w:rPr>
        <w:t>211 communities still below 80% occupancy represent a significant underperformance tail requiring either turnaround investment or additional portfolio sales, while revenue continues declining (-8.7% YoY in Q2) due to portfolio shrinkage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Senior living is an inherently physical, hands-on, regulated healthcare service that faces virtually no AI substitution risk. AI cannot replace direct caregiving, assisted living support, memory care, medication administration, or the physical infrastructure required to operate retirement communities [1]. The core value proposition — providing safe, comfortable living environments with trained staff for elderly residents who need daily assistance — requires human presence, empathy, and physical interaction that AI cannot replicate. An aging U.S. population with Baby Boomers turning 80+ creates secular demand tailwinds regardless of AI developments. Regulatory requirements for staffing ratios, care standards, and facility licensing create additional structural protection. AI is deployed as an enabler (falls detection, predictive health analytics) rather than a substitute for the core service [3]. AI Opportunity (0/1): While Brookdale uses AI-enabled falls detection and predictive analytics in some communities, these deployments are operational efficiency tools rather than revenue-generating AI products, and no quantifiable AI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Brookdale Senior Living Q2 2026 Earnings — Revenue $718.6M (-8.7% YoY), EPS $0.10 (beat -$0.06 est.), Adj EBITDA $122.1M (+4.3%), Occupancy 82.4% (+230 bps YoY), RevPAR +8.2%, Investing.com and McKnight's Senior Living, August 2026</w:t>
      </w:r>
    </w:p>
    <w:p>
      <w:pPr>
        <w:spacing w:before="20" w:after="20"/>
        <w:ind w:left="170"/>
      </w:pPr>
      <w:r>
        <w:rPr>
          <w:rFonts w:ascii="Calibri" w:hAnsi="Calibri"/>
          <w:b/>
          <w:color w:val="4A6B25"/>
          <w:sz w:val="15"/>
        </w:rPr>
        <w:t xml:space="preserve">2. </w:t>
      </w:r>
      <w:r>
        <w:rPr>
          <w:rFonts w:ascii="Calibri" w:hAnsi="Calibri"/>
          <w:b w:val="0"/>
          <w:color w:val="3A4A28"/>
          <w:sz w:val="17"/>
        </w:rPr>
        <w:t>Brookdale Strategic Acquisitions and Portfolio Optimization — Brookdale Galleria ($23.4M, 244 units), 17-Community Portfolio (~$157M, 735 units), SEC Filings, June-August 2026</w:t>
      </w:r>
    </w:p>
    <w:p>
      <w:pPr>
        <w:spacing w:before="20" w:after="20"/>
        <w:ind w:left="170"/>
      </w:pPr>
      <w:r>
        <w:rPr>
          <w:rFonts w:ascii="Calibri" w:hAnsi="Calibri"/>
          <w:b/>
          <w:color w:val="4A6B25"/>
          <w:sz w:val="15"/>
        </w:rPr>
        <w:t xml:space="preserve">3. </w:t>
      </w:r>
      <w:r>
        <w:rPr>
          <w:rFonts w:ascii="Calibri" w:hAnsi="Calibri"/>
          <w:b w:val="0"/>
          <w:color w:val="3A4A28"/>
          <w:sz w:val="17"/>
        </w:rPr>
        <w:t>Brookdale Senior Living Leadership, AI Deployment, and Corporate Information — brookdale.com, Glassdoor, WellnessAI Partnership,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Brookdale Senior Living ESG Report — Energy Star Compliance in 500+ Communities, ESG Integration into Corporate Strategy, CapEdge, CSRHub, 2021-2026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BKD Key Statistics: Stock Price $12.12, Forward P/E 634.55, ROE -349.58%, Profit Margin -4.72%, Revenue TTM $2.93B, Avg Volume 5.1M,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