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CARR</w:t>
      </w:r>
      <w:r>
        <w:rPr>
          <w:rFonts w:ascii="Calibri" w:hAnsi="Calibri"/>
          <w:b/>
          <w:color w:val="1A2010"/>
          <w:sz w:val="40"/>
        </w:rPr>
        <w:t xml:space="preserve">  Carrier Global Corporation</w:t>
      </w:r>
    </w:p>
    <w:p>
      <w:pPr>
        <w:spacing w:after="120"/>
      </w:pPr>
      <w:r>
        <w:rPr>
          <w:rFonts w:ascii="Calibri" w:hAnsi="Calibri"/>
          <w:b/>
          <w:color w:val="6E8450"/>
          <w:sz w:val="18"/>
        </w:rPr>
        <w:t>GROWTH SLEEVE · 2026-08-22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HVAC · NYSE · United States</w:t>
      </w:r>
    </w:p>
    <w:p>
      <w:pPr>
        <w:spacing w:after="80"/>
      </w:pPr>
      <w:r>
        <w:rPr>
          <w:rFonts w:ascii="Calibri" w:hAnsi="Calibri"/>
          <w:b w:val="0"/>
          <w:color w:val="3A4A28"/>
          <w:sz w:val="20"/>
        </w:rPr>
        <w:t>Carrier Global is the world's leading provider of intelligent climate and energy solutions, with operations spanning HVAC (heating, ventilation, air conditioning), refrigeration, and building automation. Spun off from United Technologies in April 2020, Carrier has since transformed its portfolio through the $13B acquisition of Viessmann Climate Solutions (2024) and divestiture of Fire &amp; Security businesses to become a pure-play climate solutions company. CEO David Gitlin describes it as a '100-year-old startup,' honoring Willis Carrier's 1902 invention of modern air conditioning. Q2 2026 sales reached $6.4B (+4% YoY), orders surged 40% with data center orders quadrupling, and backlog surpassed $8B. FY2026 guidance was raised to ~$23B in sales and ~$2.90 adjusted EPS [1].</w:t>
      </w:r>
    </w:p>
    <w:p>
      <w:r>
        <w:rPr>
          <w:rFonts w:ascii="Calibri" w:hAnsi="Calibri"/>
          <w:b/>
          <w:color w:val="6E8450"/>
          <w:sz w:val="18"/>
        </w:rPr>
        <w:t>60,000 Employees · https://www.carrier.com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Carrier executed a company-defining transformation over the past 5 years — spinning off from UTC (2020), acquiring Viessmann Climate Solutions for $13B (2024) to become the global leader in heat pumps and European HVAC, and divesting Fire &amp; Security to sharpen focus on climate solutions [2]. These moves collectively repositioned Carrier from a conglomerate division to a pure-play climate and energy solutions leader, delivering 330% cumulative TSR from 2020 separation through late 2024. AI Deployment (1/2): Carrier deploys smart building technologies, IoT-connected HVAC systems, and digital controls across its product lines. While not an AI-native company, its Abound platform integrates building intelligence and predictive maintenance. Carrier's data center cooling solutions directly enable AI infrastructure [1]. Market Share (2/2): Global #1 in HVAC with leading positions in commercial HVAC (65% order growth in Q2), residential heat pumps (Viessmann acquisition created European market leadership), and data center cooling — a rapidly growing category where Carrier is establishing dominance [1][2]. Product Pipeline (2/2): Data center cooling revenue forecast raised to ~$2B for FY2026 with orders quadrupling YoY. Backlog exceeded $8B with 40% order growth. European heat pump momentum and next-generation refrigerant-compliant products provide multi-year visibility [1]. R&amp;D Intensity (1/1): Significant R&amp;D investment in heat pump technology, low-GWP refrigerants, smart building automation, and high-density data center cooling — above average for the building products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Carrier's purpose — 'creating solutions that matter for people and our planet' — is specific, thoughtful, and connected to the company's 120-year heritage of innovation since Willis Carrier invented modern air conditioning in 1902 [2]. The sustainability commitment (helping customers avoid 1 gigaton of GHG emissions by 2030) gives the mission tangible, measurable ambition that differentiates from generic corporate platitudes [3]. CEO Gitlin's '100-year-old startup' framing connects innovation to legacy. Community Impact (1/2): Carrier has set ambitious environmental goals and earned recognition including Barron's #8 Most Sustainable Company, Carbon Clean200, and EcoVadis Silver Medal [3]. However, specific community investment programs and dollar amounts beyond environmental commitments are not prominently detailed. Employee Retention (0/2): No specific employee retention data, turnover rates, or tenure information was identified in public materials. Gitlin is described as 'people-focused' but quantitative evidence is lacking. Insider Buying (0/2): Insider ownership is only 0.17%, and no evidence of meaningful net open-market buying by executives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Carrier's infrastructure reflects a company in transition — strong positioning but compressed profitability from the Viessmann integration. D/E of 92% scores 0.90, reflecting manageable leverage including acquisition-related debt [4]. Forward P/E of 19.60 scores a perfect 1.0, sitting just below the 20x target — an attractive valuation for an industrial compounder. However, GAAP profit margin of only 5.52% scores 0.28, reflecting Viessmann integration costs and restructuring charges that depress reported earnings below the true earning power (adjusted operating margins of 17.2%) [1][4]. ROE of 8.97% scores 0.60, below the 15% target due to the enlarged equity base from the Viessmann acquisition. Revenue growth YoY of 4% scores 0.80 and 5-year revenue CAGR of ~2% scores 0.47, both reflecting the churning portfolio (divestitures offset acquisitions in aggregate revenue). Forward PEG of 1.90 scores 0.55 with 2x weight. The stock clears liquidity easily with ~$392M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Carrier demonstrates strong infinite game characteristics in its strategic transformation and heritage-driven purpose, but its relatively short independent history (spun off in 2020) limits the evidence of enduring infinite game commitment through multiple cycles. The bold Viessmann acquisition and portfolio reshaping show courage and existential flexibility, and the Willis Carrier heritage provides a 120-year foundation for a Just Cause around climate innovation. However, the firm has not yet been tested through a major crisis as an independent company, and the margin compression from aggressive M&amp;A reflects finite-game pressure to deliver near-term results.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Carrier's purpose — creating climate and energy solutions that matter for people and the planet — is genuine, partially lived, and connected to a 120-year heritage dating back to Willis Carrier's invention of modern air conditioning [2]. The 1-gigaton carbon reduction goal by 2030 gives the cause measurable ambition. CEO Gitlin's '100-year-old startup' framing connects innovation to legacy purpose. The Viessmann acquisition was explicitly framed as advancing the climate mission. However, the cause has not yet been tested through a multi-decade crisis as an independent company (spun off only in 2020), and the aggressive M&amp;A strategy could be read as growth-oriented rather than cause-driven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Gitlin's leadership is described as 'disciplined, strategic, and people-focused,' emphasizing productivity alongside innovation [2]. The leadership team has been stable since the 2020 spin-off, with Gitlin providing continuity and clear strategic direction. However, no specific data on employee retention, engagement scores, or organizational trust metrics was identified. The integration of 20,000+ Viessmann employees into Carrier's culture represents an ongoing organizational challenge.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Carrier's leadership referencing competitors like Daikin, Trane Technologies (TT), or Johnson Controls as worthy rivals whose strengths reveal Carrier's own weaknesses. The competitive posture in earnings calls focuses on market share gains and order growth rather than learning from competitors' advantages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Carrier has executed one of the most dramatic corporate transformations in recent industrial history. Within 6 years, the company separated from UTC (2020), acquired Viessmann Climate Solutions for $13B (2024), and divested its legacy Fire &amp; Security businesses to become a pure-play climate solutions company [2]. Each move required abandoning profitable, established business lines to pursue a focused climate mission. The willingness to take on significant debt and complexity for the Viessmann acquisition — transforming the European heat pump market position — reflects existential flexibility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$13B Viessmann acquisition was one of the largest industrial deals of 2024, requiring Carrier to take on significant leverage and integration risk to transform its market position in European heat pumps [2]. Divesting profitable Fire &amp; Security businesses — established revenue streams with loyal customers — required courage to prioritize long-term climate focus over near-term earnings diversification. CEO Gitlin committed to the 1-gigaton carbon reduction goal, making climate a core strategic pillar rather than a compliance checkbox. Raising FY2026 guidance amid margin pressure from integration costs shows confidence in the long-term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Carrier at $60.37 (19.6x forward earnings) offers a compelling entry into the global leader in climate solutions at an inflection point — the pure-play transformation is complete, data center cooling is exploding (orders 4x, revenue forecast raised to ~$2B), and FY2026 guidance was raised to ~$23B sales and ~$2.90 adjusted EPS [1]. The $8B+ backlog with 40% order growth provides strong visibility, and the Viessmann integration unlocks European heat pump leadership as regulatory mandates accelerate the energy transition [2]. Forward P/E of 19.6x is attractive relative to the 20x target and well below the 43.4x trailing PE that reflects depressed GAAP earnings from integration costs. As Viessmann synergies materialize and integration costs normalize, GAAP margins should converge toward the 17.2% adjusted operating margin, potentially driving 30-40% EPS expansion over the next 2 years [1]. Carrier's 120-year heritage as the inventor of modern air conditioning provides brand moat and institutional knowledge that competitors cannot replicate.</w:t>
      </w:r>
    </w:p>
    <w:p>
      <w:pPr>
        <w:spacing w:after="120"/>
      </w:pPr>
      <w:r>
        <w:rPr>
          <w:rFonts w:ascii="Calibri" w:hAnsi="Calibri"/>
          <w:b w:val="0"/>
          <w:color w:val="3A4A28"/>
          <w:sz w:val="20"/>
        </w:rPr>
        <w:t>The bear case focuses on integration execution, margin compression, and growth sustainability. Adjusted operating margins compressed 190bps to 17.2% in Q2, and GAAP profit margin of only 5.52% reflects the real cost of integrating a $13B acquisition — margin recovery is not guaranteed [1][4]. The 5-year revenue CAGR of ~2% demonstrates that organic growth has been modest, with acquisitions and divestitures masking an underlying business that grows with construction cycles and replacement demand. D/E of 92% reflects acquisition-driven leverage that could constrain financial flexibility if end markets soften. ROE of only 8.97% — well below the 15% target — reflects the diluted return profile of a company mid-transformation. Residential HVAC demand is cyclical and sensitive to interest rates, and the European heat pump market faces policy uncertainty. The Inspire Impact Score of -49 (MISALIGNED) will limit allocation for faith-based investors despite strong sustainability credentials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cooling revenue forecast raised to ~$2B for FY2026 with orders quadrupling YoY, positioning Carrier as a primary pick-and-shovel beneficiary of the $1T+ AI infrastructure build-out with multi-year demand visibility [1]</w:t>
      </w:r>
    </w:p>
    <w:p>
      <w:pPr>
        <w:spacing w:before="40" w:after="40"/>
        <w:ind w:left="283"/>
      </w:pPr>
      <w:r>
        <w:rPr>
          <w:rFonts w:ascii="Calibri" w:hAnsi="Calibri"/>
          <w:b/>
          <w:color w:val="4A6B25"/>
          <w:sz w:val="20"/>
        </w:rPr>
        <w:t xml:space="preserve">2. </w:t>
      </w:r>
      <w:r>
        <w:rPr>
          <w:rFonts w:ascii="Calibri" w:hAnsi="Calibri"/>
          <w:b w:val="0"/>
          <w:color w:val="3A4A28"/>
          <w:sz w:val="20"/>
        </w:rPr>
        <w:t>Viessmann integration synergy realization should drive margin expansion from the current 17.2% adjusted operating margin toward 20%+, potentially delivering 30-40% EPS growth as integration costs normalize over 2026-2027 [1][2]</w:t>
      </w:r>
    </w:p>
    <w:p>
      <w:pPr>
        <w:spacing w:before="40" w:after="40"/>
        <w:ind w:left="283"/>
      </w:pPr>
      <w:r>
        <w:rPr>
          <w:rFonts w:ascii="Calibri" w:hAnsi="Calibri"/>
          <w:b/>
          <w:color w:val="4A6B25"/>
          <w:sz w:val="20"/>
        </w:rPr>
        <w:t xml:space="preserve">3. </w:t>
      </w:r>
      <w:r>
        <w:rPr>
          <w:rFonts w:ascii="Calibri" w:hAnsi="Calibri"/>
          <w:b w:val="0"/>
          <w:color w:val="3A4A28"/>
          <w:sz w:val="20"/>
        </w:rPr>
        <w:t>European heat pump regulatory mandates and the global energy transition provide secular demand drivers independent of construction cycles, with Carrier's #1 market position from the Viessmann acquisition capturing disproportionate share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Viessmann integration complexity — 190bps of adjusted operating margin compression in Q2 and GAAP profit margin of only 5.52% show real execution risk; failure to achieve synergies could leave the company with $13B of acquisition debt and diluted returns [1][4]</w:t>
      </w:r>
    </w:p>
    <w:p>
      <w:pPr>
        <w:spacing w:before="40" w:after="40"/>
        <w:ind w:left="283"/>
      </w:pPr>
      <w:r>
        <w:rPr>
          <w:rFonts w:ascii="Calibri" w:hAnsi="Calibri"/>
          <w:b/>
          <w:color w:val="4A6B25"/>
          <w:sz w:val="20"/>
        </w:rPr>
        <w:t xml:space="preserve">2. </w:t>
      </w:r>
      <w:r>
        <w:rPr>
          <w:rFonts w:ascii="Calibri" w:hAnsi="Calibri"/>
          <w:b w:val="0"/>
          <w:color w:val="3A4A28"/>
          <w:sz w:val="20"/>
        </w:rPr>
        <w:t>Residential HVAC cyclicality exposes Carrier to interest rate sensitivity and construction cycle downturns; European heat pump demand could stall if government subsidies are reduced or energy prices decline [1]</w:t>
      </w:r>
    </w:p>
    <w:p>
      <w:pPr>
        <w:spacing w:before="40" w:after="40"/>
        <w:ind w:left="283"/>
      </w:pPr>
      <w:r>
        <w:rPr>
          <w:rFonts w:ascii="Calibri" w:hAnsi="Calibri"/>
          <w:b/>
          <w:color w:val="4A6B25"/>
          <w:sz w:val="20"/>
        </w:rPr>
        <w:t xml:space="preserve">3. </w:t>
      </w:r>
      <w:r>
        <w:rPr>
          <w:rFonts w:ascii="Calibri" w:hAnsi="Calibri"/>
          <w:b w:val="0"/>
          <w:color w:val="3A4A28"/>
          <w:sz w:val="20"/>
        </w:rPr>
        <w:t>ROE of 8.97% and 5-year revenue CAGR of ~2% reflect a company whose organic growth and return profile have not yet justified the transformative ambition of the Viessmann acquisition — investors are paying for future improvement, not current results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Carrier's core business — manufacturing and installing physical HVAC equipment, heat pumps, refrigeration systems, and building controls — is structurally immune to AI disruption. AI cannot replace the need for physical cooling, heating, and refrigeration infrastructure [1]. More significantly, AI is actively increasing demand for Carrier's products: AI data centers require massive cooling capacity, and Carrier's data center cooling business saw orders quadruple in Q2 2026 with revenue forecast raised to ~$2B for FY2026 [1]. The global energy transition and regulatory mandates for low-GWP refrigerants create additional demand that AI cannot substitute. The only AI risk is operational — AI-optimized competitors could gain efficiency advantages in manufacturing or smart building controls — but this is a modest competitive risk, not an existential one. AI Opportunity (1/1): Carrier generates direct, quantifiable revenue from AI-enabling infrastructure. Data center cooling revenue is projected at ~$2B for FY2026 with fourfold order growth, making Carrier a direct pick-and-shovel beneficiary of the AI infrastructure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Carrier Global Q2 2026 Earnings — Revenue $6.4B (+4%), Orders +40%, Data Center Orders 4x, Backlog &gt;$8B, Adjusted EPS $0.86, FY2026 Guidance Raised to ~$23B Sales / ~$2.90 EPS, July 2026</w:t>
      </w:r>
    </w:p>
    <w:p>
      <w:pPr>
        <w:spacing w:before="20" w:after="20"/>
        <w:ind w:left="170"/>
      </w:pPr>
      <w:r>
        <w:rPr>
          <w:rFonts w:ascii="Calibri" w:hAnsi="Calibri"/>
          <w:b/>
          <w:color w:val="4A6B25"/>
          <w:sz w:val="15"/>
        </w:rPr>
        <w:t xml:space="preserve">2. </w:t>
      </w:r>
      <w:r>
        <w:rPr>
          <w:rFonts w:ascii="Calibri" w:hAnsi="Calibri"/>
          <w:b w:val="0"/>
          <w:color w:val="3A4A28"/>
          <w:sz w:val="17"/>
        </w:rPr>
        <w:t>Carrier Strategy &amp; Leadership — CEO David Gitlin, Viessmann Acquisition ($13B), Portfolio Transformation to Pure-Play Climate, 330% Cumulative TSR 2020-2024 — BBNTimes, EY, 2024-2026</w:t>
      </w:r>
    </w:p>
    <w:p>
      <w:pPr>
        <w:spacing w:before="20" w:after="20"/>
        <w:ind w:left="170"/>
      </w:pPr>
      <w:r>
        <w:rPr>
          <w:rFonts w:ascii="Calibri" w:hAnsi="Calibri"/>
          <w:b/>
          <w:color w:val="4A6B25"/>
          <w:sz w:val="15"/>
        </w:rPr>
        <w:t xml:space="preserve">3. </w:t>
      </w:r>
      <w:r>
        <w:rPr>
          <w:rFonts w:ascii="Calibri" w:hAnsi="Calibri"/>
          <w:b w:val="0"/>
          <w:color w:val="3A4A28"/>
          <w:sz w:val="17"/>
        </w:rPr>
        <w:t>Carrier ESG &amp; Sustainability — 1 Gigaton Carbon Reduction Goal, Barron's #8 Most Sustainable, Carbon Clean200, EcoVadis Silver — aPriori, S&amp;P Global,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 CARR Key Statistics: Stock Price $60.37, Forward PE 19.60, PEG 1.90, ROE 8.97%, D/E 92%, Profit Margin 5.52%, Dividend Yield 1.59%,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