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CVGI</w:t>
      </w:r>
      <w:r>
        <w:rPr>
          <w:rFonts w:ascii="Calibri" w:hAnsi="Calibri"/>
          <w:b/>
          <w:color w:val="1A2010"/>
          <w:sz w:val="40"/>
        </w:rPr>
        <w:t xml:space="preserve">  Commercial Vehicle Group, Inc.</w:t>
      </w:r>
    </w:p>
    <w:p>
      <w:pPr>
        <w:spacing w:after="120"/>
      </w:pPr>
      <w:r>
        <w:rPr>
          <w:rFonts w:ascii="Calibri" w:hAnsi="Calibri"/>
          <w:b/>
          <w:color w:val="6E8450"/>
          <w:sz w:val="18"/>
        </w:rPr>
        <w:t>GROWTH SLEEVE · 2026-08-08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Auto Parts &amp; Equipment · NASDAQ · United States</w:t>
      </w:r>
    </w:p>
    <w:p>
      <w:pPr>
        <w:spacing w:after="80"/>
      </w:pPr>
      <w:r>
        <w:rPr>
          <w:rFonts w:ascii="Calibri" w:hAnsi="Calibri"/>
          <w:b w:val="0"/>
          <w:color w:val="3A4A28"/>
          <w:sz w:val="20"/>
        </w:rPr>
        <w:t>Commercial Vehicle Group, Inc. designs, manufactures, and sells components and assemblies for the global commercial vehicle market. The company operates through three segments: Vehicle Solutions (seats, trim, mirrors, wipers), Electrical Systems (wire harnesses, panel assemblies, cable assemblies), and Aftermarket &amp; Accessories. Serves OEMs including PACCAR, Daimler Truck, Navistar, and Volvo. Founded in 2000 and headquartered in New Albany, Ohio.</w:t>
      </w:r>
    </w:p>
    <w:p>
      <w:r>
        <w:rPr>
          <w:rFonts w:ascii="Calibri" w:hAnsi="Calibri"/>
          <w:b/>
          <w:color w:val="6E8450"/>
          <w:sz w:val="18"/>
        </w:rPr>
        <w:t>6,100 Employees · https://www.cvgrp.com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CVG introduced the STACC (Stacked, Tote, Automated, Conveyance Cube) prototype automation system, which the company claims could disrupt traditional micro-fulfillment markets, representing a modest extension beyond core commercial vehicle parts [2]. The Global Electrical Systems segment grew revenue 13.9% in Q1 2026, showing successful diversification into vehicle electrification [1]. However, the core business model has not fundamentally changed. AI Deployment (0/2): No AI-powered products shipping or AI-driven cost savings reported. The STACC prototype involves automation but no AI-specific capabilities have been disclosed [2]. Market Share (1/2): CVG is a meaningful Tier 1 supplier to major commercial vehicle OEMs including PACCAR, Daimler Truck, and Volvo, but holds no dominant market position in any product category — the company competes against larger, better-capitalized suppliers [1]. Product Pipeline (0/2): No specific next-generation products with defined launch timelines announced beyond the STACC prototype. R&amp;D Intensity (0/1): No evidence of above-average R&amp;D spending relative to auto parts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CVG's stated purpose centers on 'delivering innovative solutions for the commercial vehicle market' — a generic industry positioning statement interchangeable with any Tier 1 auto parts supplier. The mission does not articulate a deeper purpose or vision of a better future [3]. Community Impact (0/2): The company published its first ESG report in 2022 with company-wide environmental and labor policies, but no specific charitable programs, community investment amounts, or distinctive initiatives were identified [4]. Employee Retention (0/2): Glassdoor reviews reveal significant cultural issues — employees describe 'tone deaf leadership and communication,' an 'incredibly misogynistic culture' with 'very few women in leadership roles,' and 'absent leadership' with 'poor management, lack of growth opportunities' [3]. Insider Buying (0/2): During COVID, the CEO reduced employee salaries by 20% while reportedly paying himself and top management millions in additional compensation — the opposite of insider alignment with employees [3].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excluding unavailable 5yr CAGR and PEG). Q2 2026 revenue of $195.2M grew 13.5% YoY, driven by demand recovery across all three segments, and the company raised full-year guidance to $740M at midpoint (8.7% above consensus) [1]. Forward P/E of 13.46 is attractively below the 20 target, and D/E of 108% is moderate. However, the company remains unprofitable — TTM net loss of $23.1M, ROE of -15.1%, and profit margin of -3.4% all score zero [2]. Adjusted EBITDA margin of 4.21% and Altman Z-Score of 1.76 indicate thin profitability with some financial stress. Debt-to-EBITDA of 5.16x is elevated for an industrial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Commercial Vehicle Group exhibits a predominantly finite game mindset. The company lacks a compelling Just Cause, leadership demonstrated anti-infinite behavior during COVID by cutting employee pay while enriching executive compensation, and Glassdoor reviews reveal a low-trust culture. The one bright spot is some existential flexibility in diversifying from traditional trim/seating into electrical systems, showing willingness to evolve the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CVG articulates its purpose in terms of market position and product delivery rather than a vision of a better future. Leadership communications in earnings releases focus exclusively on financial metrics — revenue growth, margin improvement, EBITDA targets — with no reference to a higher purpose or enduring cause [1]. The company exists to supply parts to commercial vehicle OEMs, a necessary function but not an inspiring cause that would survive industry disruption.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organization. Employees describe 'tone deaf leadership and communication,' an 'incredibly misogynistic culture' with 'very few women in leadership roles,' and 'absent leadership' [3]. While some employees note a 'laid back work environment conducive to technological development,' the preponderance of feedback suggests organizational dysfunction at odds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CVG's competitive posture focuses on defending market position with existing OEM customers rather than learning from competitors' strengths. Management commentary does not reference worthy rivals or use competitive pressure as a catalyst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CVG has shown incremental flexibility by diversifying from its traditional trim and seating business into the Global Electrical Systems segment, which grew revenue 13.9% in Q1 2026 and is becoming an increasingly important growth driver [1]. The STACC automation prototype also represents exploration beyond core commercial vehicle parts into micro-fulfillment automation [2]. These are meaningful but incremental shifts — not the transformative pivot that characterizes a 2-point score.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capability. During COVID, CEO leadership cut employee salaries by 20% while reportedly paying executives millions in additional compensation — a decision that prioritized leadership self-interest over organizational trust [3]. Recent strategic moves focus on cost restructuring and operational efficiency rather than bold long-term investments in new capabilities or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CVG's Q2 2026 results showed genuine momentum — revenue grew 13.5% to $195.2M, gross margin expanded 140bps YoY, and management raised full-year guidance to $740M at midpoint (8.7% above consensus) [1]. The Global Electrical Systems segment is emerging as a secular growth driver, benefiting from commercial vehicle electrification trends with 13.9% Q1 revenue growth. At just 0.20x price-to-sales and 0.93x price-to-book with a forward P/E of 13.46, the stock is valued at deep discount levels that could reward patient investors if the profitability turnaround materializes [2].</w:t>
      </w:r>
    </w:p>
    <w:p>
      <w:pPr>
        <w:spacing w:after="120"/>
      </w:pPr>
      <w:r>
        <w:rPr>
          <w:rFonts w:ascii="Calibri" w:hAnsi="Calibri"/>
          <w:b w:val="0"/>
          <w:color w:val="3A4A28"/>
          <w:sz w:val="20"/>
        </w:rPr>
        <w:t>The fundamental problem is that CVG cannot generate sustainable profits. TTM net loss of $23.1M, ROE of -15.1%, and profit margin of -3.4% reflect a business that has been unprofitable through a cycle, not just in a trough [2]. Debt-to-EBITDA of 5.16x is dangerously high for a cyclical industrial with thin margins, creating refinancing risk if commercial vehicle demand softens. The Glassdoor-documented leadership culture issues — including the COVID salary cuts for employees while executives were enriched — create talent retention risk in a tight labor market [3]. The Altman Z-Score of 1.76 signals elevated bankruptcy risk, and with a $138M market cap, the stock remains in micro-cap territory with limited institutional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$740M represents approximately 9% growth, with potential for further upside if North American commercial vehicle production exceeds current industry forecasts</w:t>
      </w:r>
    </w:p>
    <w:p>
      <w:pPr>
        <w:spacing w:before="40" w:after="40"/>
        <w:ind w:left="283"/>
      </w:pPr>
      <w:r>
        <w:rPr>
          <w:rFonts w:ascii="Calibri" w:hAnsi="Calibri"/>
          <w:b/>
          <w:color w:val="4A6B25"/>
          <w:sz w:val="20"/>
        </w:rPr>
        <w:t xml:space="preserve">2. </w:t>
      </w:r>
      <w:r>
        <w:rPr>
          <w:rFonts w:ascii="Calibri" w:hAnsi="Calibri"/>
          <w:b w:val="0"/>
          <w:color w:val="3A4A28"/>
          <w:sz w:val="20"/>
        </w:rPr>
        <w:t>Global Electrical Systems segment growth accelerating as OEMs increase electrification content per vehicle, potentially shifting CVG's revenue mix toward higher-margin electrical assemblies</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continuing from operational efficiency improvements — Q2 margins expanded 140bps YoY — could drive the company to sustainable EBITDA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Debt-to-EBITDA of 5.16x creates significant financial risk for a cyclical industrial company, with potential covenant or refinancing pressure if commercial vehicle production enters a downcycle</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 TTM net loss of $23.1M with -3.4% profit margin — despite revenue recovery, suggesting structural cost issues that revenue growth alone cannot solve</w:t>
      </w:r>
    </w:p>
    <w:p>
      <w:pPr>
        <w:spacing w:before="40" w:after="40"/>
        <w:ind w:left="283"/>
      </w:pPr>
      <w:r>
        <w:rPr>
          <w:rFonts w:ascii="Calibri" w:hAnsi="Calibri"/>
          <w:b/>
          <w:color w:val="4A6B25"/>
          <w:sz w:val="20"/>
        </w:rPr>
        <w:t xml:space="preserve">3. </w:t>
      </w:r>
      <w:r>
        <w:rPr>
          <w:rFonts w:ascii="Calibri" w:hAnsi="Calibri"/>
          <w:b w:val="0"/>
          <w:color w:val="3A4A28"/>
          <w:sz w:val="20"/>
        </w:rPr>
        <w:t>Documented culture and leadership issues including employee reports of misogynistic practices and executive self-dealing during COVID create retention risk and limit the company's ability to attract top talent in a competitive labor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CVG's core business — manufacturing physical vehicle components including seats, trim assemblies, wire harnesses, and electrical systems — is structurally protected from AI disruption [1]. These products require physical fabrication, assembly, and integration into commercial vehicle platforms that AI cannot substitute. The supply chain involves specialized tooling, OEM qualification processes, and physical logistics that create meaningful switching costs. However, the company does not score at the 'immune' level because vehicle electrification and autonomous driving trends could reshape demand patterns for traditional cab interior components, and AI-driven manufacturing optimization by larger competitors could pressure CVG's cost position. AI Opportunity (0/1): No AI-related revenue. The STACC prototype involves automation but generates no revenue and has no AI-specific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Vehicle Group Q2 2026 Financial Results and Raised Guidance — StockTitan/BusinessWire,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CVGI Statistics, Valuation,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Commercial Vehicle Group Employee Reviews (112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Commercial Vehicle Group 2022 ESG Report and SEC DEF 14A Filing,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