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CXT</w:t>
      </w:r>
      <w:r>
        <w:rPr>
          <w:rFonts w:ascii="Calibri" w:hAnsi="Calibri"/>
          <w:b/>
          <w:color w:val="1A2010"/>
          <w:sz w:val="40"/>
        </w:rPr>
        <w:t xml:space="preserve">  Crane NXT, Co.</w:t>
      </w:r>
    </w:p>
    <w:p>
      <w:pPr>
        <w:spacing w:after="120"/>
      </w:pPr>
      <w:r>
        <w:rPr>
          <w:rFonts w:ascii="Calibri" w:hAnsi="Calibri"/>
          <w:b/>
          <w:color w:val="6E8450"/>
          <w:sz w:val="18"/>
        </w:rPr>
        <w:t>GROWTH SLEEVE · 2026-08-18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Crane NXT is an industrial technology company providing solutions to secure, detect, and authenticate critical assets. The company operates through Crane Payment Innovations (CPI) for payment and vending automation technology, and Security and Authentication Technologies for banknote security features, brand protection, and digital content authentication. Separated from Crane Holdings in 2023, Crane NXT has since acquired OpSec Security, De La Rue's authentication business, and Antares Vision (closed March 2026). Q2 2026 sales were $493.2M (+22% YoY), with FY2026 guidance of 15-17% sales growth and raised adjusted EPS guidance of $4.22-$4.42. Market cap approximately $3.1B.</w:t>
      </w:r>
    </w:p>
    <w:p>
      <w:r>
        <w:rPr>
          <w:rFonts w:ascii="Calibri" w:hAnsi="Calibri"/>
          <w:b/>
          <w:color w:val="6E8450"/>
          <w:sz w:val="18"/>
        </w:rPr>
        <w:t>4,800 Employees · https://www.cranenxt.com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Crane NXT has executed a transformative acquisition strategy since its 2023 separation, acquiring OpSec Security, De La Rue's authentication business, and Antares Vision (closed March 2026) to build a comprehensive security and authentication platform [1]. Q2 2026 sales reached $493.2M (+22% YoY), and H1 2026 revenue of $880.9M grew 20% versus $734.7M. The acquisitions expanded the company from banknote security and payment systems into digital brand protection and pharmaceutical track-and-trace, representing genuine business model transformation. AI Deployment (1/2): The Security and Authentication Technologies segment provides digital content protection across online marketplaces and social media, incorporating machine learning for authentication and counterfeit detection [2]. The Antares Vision acquisition adds AI-powered inspection and track-and-trace capabilities in pharmaceutical manufacturing. However, specific AI revenue figures are not separately quantified. Market Share (2/2): Crane NXT is a global leader in banknote security features (supplying central banks worldwide), payment innovations for vending and self-service markets, and — with the acquisitions — pharmaceutical serialization [1]. The company holds 650+ patents in emerging markets including product authentication, brand security, IoT connectivity, and advanced sensor technology. Pipeline (2/2): Management raised FY2026 adjusted EPS guidance to $4.22-$4.42 (from $4.10-$4.40) and reaffirmed 15-17% sales growth guidance following strong Q2 results [1]. The Antares Vision pharmaceutical track-and-trace platform opens a structural growth vector as serialization regulations expand globally. R&amp;D Intensity (0/1): R&amp;D spending relative to revenue is not reported at above-industry levels; innovation comes primarily through acquisition of technology companies and 650+ patents across security and authentication.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Crane NXT's purpose centers on 'securing, detecting, and authenticating customers' most important assets' with a culture built on 'performance, trust and respect' [2]. This clearly identifies what the company does and connects to a meaningful societal function (preventing counterfeiting, protecting brands, ensuring pharmaceutical safety), but it describes a functional capability rather than an aspirational vision of a better future. Community Impact (0/2): No evidence of charitable programs, foundation activity, or distinctive community investment identified in research. The company published an inaugural ESG report in 2023 focusing on responsible growth commitments but no specific community impact programs with dollar amounts were found [3]. Employee Retention (0/2): Glassdoor rating of 1.9/5 with 2.0 for work-life balance and 1.9 for culture and values indicates a deeply troubled employee experience [2]. Reviews cite 'annual layoffs,' 'lack of vision,' and 'no real direction.' This is among the lowest Glassdoor scores in the screening universe and suggests significant retention challenges. Insider Buying (1/2): CEO Aaron Saak has led the aggressive acquisition strategy since November 2022 with over 20 years of technology leadership experience, demonstrating strategic conviction [2]. The company raised EPS guidance to $4.22-$4.42 in Q2, showing management confidence. However, no specific insider buying transaction data with dollar amounts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Crane NXT demonstrates improving financial fundamentals as acquisition integration progresses. D/E improved to 90% from 121% in the prior quarter, reflecting deleveraging efforts and equity improvement [4]. ROE of 13.59% is approaching the 15% target, up from 11% in Q1. Revenue growth YoY of approximately 20% (H1 2026: $880.9M vs $734.7M, Q2 alone +22%) exceeds the 10% target [1]. Forward P/E of 10.59x is well below the 20x target, representing significant valuation discount — the market is pricing in integration risk and the gap between GAAP and adjusted earnings. Profit margin of 7.84% reflects ongoing acquisition dilution but is improving as integrations mature. Liquidity floor easily cleared: ~800K avg volume x $50.38 = $40.3M daily trading value [4]. The primary Infrastructure drag is the still-thin profit margin (7.84% vs 20%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Crane NXT exhibits predominantly finite-game characteristics despite its heritage in currency technology. Since the 2023 separation from Crane Holdings, the company has pursued an aggressive acquisition strategy (OpSec, De La Rue, Antares Vision) focused on growth-through-consolidation rather than organic capability building. Glassdoor ratings of 1.9/5 with reports of 'annual layoffs' and 'lack of vision' suggest a short-term optimization culture antithetical to Sinek's model of Trusting Teams. The strategy appears driven by revenue aggregation and financial engineering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Crane NXT's purpose — securing, detecting, and authenticating assets — is functional rather than aspirational [2]. The company exists to provide security technology, serving a real societal need (preventing counterfeiting, ensuring pharmaceutical safety), but this doesn't articulate a future state worth sacrificing for. Since the 2023 separation, strategic decisions appear driven by revenue aggregation through acquisitions rather than a consistent cause. The rapid-fire acquisition of three companies in under three years suggests a growth-through-consolidation strategy. Sinek would view this as playing to win market share rather than playing to keep playing.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1.9/5 is deeply concerning — employees rate culture and values at 1.9, work-life balance at 2.0, and career opportunities at 2.1 [2]. Reviews describe 'annual layoffs,' 'lack of vision,' and 'no real direction.' This is fundamentally antithetical to Sinek's Circle of Safety — employees under annual layoff cycles cannot feel psychologically safe. With 4,800 employees and three major acquisitions in rapid succession, organizational instability and cultural integration challenges are compounding trust deficits. The 1.9/5 Glassdoor rating is among the lowest in the IOWN screening universe.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Crane NXT's competitive strategy is primarily acquisitive — rather than learning from competitors like De La Rue and OpSec, the company acquired them [1]. This is a finite-game approach: eliminating rivals rather than being improved by them. The rapid consolidation of the authentication industry suggests a market-share-driven mindset focused on winning through scale rather than competing to improve. No evidence of management commentary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separation from Crane Holdings was itself a significant strategic pivot, creating a focused industrial technology company from a diversified conglomerate. The subsequent acquisitions (OpSec for digital brand protection, De La Rue for authentication, Antares Vision for pharmaceutical track-and-trace) represent genuine business model expansion from traditional banknote security into digital authentication and pharmaceutical serialization [1]. However, these pivots were executed through acquisitions rather than organic reinvention, and the integration risk from three simultaneous deals remains substantial.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Crane NXT committed significant capital for Antares Vision and the De La Rue and OpSec acquisitions, accepting near-term earnings dilution (H1 2026 net income fell to $41.8M from $46.6M despite 20% revenue growth) to transform the company's competitive position [1]. The raised adjusted EPS guidance to $4.22-$4.42 shows growing confidence in the integration payoff. However, the strategy is acquisition-led rather than involving organic investment choices that sacrifice earnings — the courage is financial (taking on debt for acquisitions) rather than philosophical (choosing purpose over profit).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Crane NXT is a compelling value play in industrial security technology, trading at 10.59x forward earnings with 20%+ revenue growth and raised adjusted EPS guidance of $4.22-$4.42 for FY2026 [1][4]. Q2 2026 delivered $493.2M in sales (+22% YoY) with improved net income of $35.4M (+42% YoY in Q2), demonstrating acquisition contributions are materializing. The transformation from a banknote security and payment systems company into a comprehensive authentication platform — through OpSec, De La Rue, and Antares Vision acquisitions — creates a differentiated offering spanning physical currency security, digital brand protection, and pharmaceutical track-and-trace [1]. D/E improved to 90% from 121%, and ROE reached 13.59% as integration progresses. The Inspire Insight score of 37 (ALIGNED) with 13 positive ESG attributions reflects responsible practices, and the business provides genuine societal value by combating counterfeiting and ensuring product authenticity.</w:t>
      </w:r>
    </w:p>
    <w:p>
      <w:pPr>
        <w:spacing w:after="120"/>
      </w:pPr>
      <w:r>
        <w:rPr>
          <w:rFonts w:ascii="Calibri" w:hAnsi="Calibri"/>
          <w:b w:val="0"/>
          <w:color w:val="3A4A28"/>
          <w:sz w:val="20"/>
        </w:rPr>
        <w:t>The bear case centers on integration complexity, cultural dysfunction, and the GAAP-vs-adjusted earnings gap. Three major acquisitions in under three years create significant execution risk — H1 2026 net income declined to $41.8M from $46.6M despite 20% revenue growth, as acquisition costs and amortization suppressed reported earnings [1]. The wide gap between implied GAAP EPS (~$1.44 annualized H1) and adjusted EPS guidance ($4.22-$4.42) warrants scrutiny of the adjustments. Glassdoor rating of 1.9/5 with 'annual layoffs' and 'lack of vision' is deeply concerning — cultural dysfunction could impair retention of key technical talent during critical integration phases and undermine the very capabilities being acquired [2]. Profit margin of 7.84% reflects ongoing acquisition dilution, and margin recovery depends on achieving synergies across three simultaneous integrations. Organic growth of only 3% in Q2 2026 (versus 22% total) reveals heavy reliance on acquired revenue. The dividend yield of 1.4% does not qualify for the Dividend sleeve, limiting appeal for income-oriented investors despite 33 consecutive years of payments.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Antares Vision integration unlocking pharmaceutical track-and-trace growth — serialization regulations expanding globally create a structural demand tailwind, and management raised FY2026 adjusted EPS guidance to $4.22-$4.42 after strong Q2 results [1]</w:t>
      </w:r>
    </w:p>
    <w:p>
      <w:pPr>
        <w:spacing w:before="40" w:after="40"/>
        <w:ind w:left="283"/>
      </w:pPr>
      <w:r>
        <w:rPr>
          <w:rFonts w:ascii="Calibri" w:hAnsi="Calibri"/>
          <w:b/>
          <w:color w:val="4A6B25"/>
          <w:sz w:val="20"/>
        </w:rPr>
        <w:t xml:space="preserve">2. </w:t>
      </w:r>
      <w:r>
        <w:rPr>
          <w:rFonts w:ascii="Calibri" w:hAnsi="Calibri"/>
          <w:b w:val="0"/>
          <w:color w:val="3A4A28"/>
          <w:sz w:val="20"/>
        </w:rPr>
        <w:t>Forward P/E of 10.59x against raised adjusted EPS guidance suggests significant valuation upside if integration execution delivers — multiple re-rating toward industrial technology peers (15-20x) would drive 40-90% upside from the current $50.38 price [4]</w:t>
      </w:r>
    </w:p>
    <w:p>
      <w:pPr>
        <w:spacing w:before="40" w:after="40"/>
        <w:ind w:left="283"/>
      </w:pPr>
      <w:r>
        <w:rPr>
          <w:rFonts w:ascii="Calibri" w:hAnsi="Calibri"/>
          <w:b/>
          <w:color w:val="4A6B25"/>
          <w:sz w:val="20"/>
        </w:rPr>
        <w:t xml:space="preserve">3. </w:t>
      </w:r>
      <w:r>
        <w:rPr>
          <w:rFonts w:ascii="Calibri" w:hAnsi="Calibri"/>
          <w:b w:val="0"/>
          <w:color w:val="3A4A28"/>
          <w:sz w:val="20"/>
        </w:rPr>
        <w:t>D/E improvement from 121% to 90% demonstrates rapid deleveraging, with continued debt reduction from $169M+ FCF improving financial flexibility and reducing risk perception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overload — three major acquisitions in under three years creates execution complexity; H1 2026 net income fell 10% YoY to $41.8M despite 20% revenue growth, revealing significant acquisition-related cost burden; organic growth of only 3% in Q2 suggests limited core business momentum [1]</w:t>
      </w:r>
    </w:p>
    <w:p>
      <w:pPr>
        <w:spacing w:before="40" w:after="40"/>
        <w:ind w:left="283"/>
      </w:pPr>
      <w:r>
        <w:rPr>
          <w:rFonts w:ascii="Calibri" w:hAnsi="Calibri"/>
          <w:b/>
          <w:color w:val="4A6B25"/>
          <w:sz w:val="20"/>
        </w:rPr>
        <w:t xml:space="preserve">2. </w:t>
      </w:r>
      <w:r>
        <w:rPr>
          <w:rFonts w:ascii="Calibri" w:hAnsi="Calibri"/>
          <w:b w:val="0"/>
          <w:color w:val="3A4A28"/>
          <w:sz w:val="20"/>
        </w:rPr>
        <w:t>Cultural dysfunction — Glassdoor rating of 1.9/5 with 'annual layoffs' and 'lack of vision' could impair retention of key technical talent needed to integrate and operate acquired businesses during critical transformation period [2]</w:t>
      </w:r>
    </w:p>
    <w:p>
      <w:pPr>
        <w:spacing w:before="40" w:after="40"/>
        <w:ind w:left="283"/>
      </w:pPr>
      <w:r>
        <w:rPr>
          <w:rFonts w:ascii="Calibri" w:hAnsi="Calibri"/>
          <w:b/>
          <w:color w:val="4A6B25"/>
          <w:sz w:val="20"/>
        </w:rPr>
        <w:t xml:space="preserve">3. </w:t>
      </w:r>
      <w:r>
        <w:rPr>
          <w:rFonts w:ascii="Calibri" w:hAnsi="Calibri"/>
          <w:b w:val="0"/>
          <w:color w:val="3A4A28"/>
          <w:sz w:val="20"/>
        </w:rPr>
        <w:t>GAAP-vs-adjusted earnings gap — implied GAAP EPS of ~$1.44 (annualized H1) versus adjusted guidance of $4.22-$4.42 reveals nearly $3/share in adjustments; investors may discount the adjusted figures if acquisition costs persist longer than management expects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Crane NXT operates in security and authentication — physical banknote security features, vending/payment hardware, and brand protection. The physical hardware components (payment systems, micro-optic security features on currency) are structurally immune to AI displacement — central banks will continue requiring physical security features on banknotes, and vending machines require physical coin/bill handling [1]. The Antares Vision pharmaceutical track-and-trace business operates in a heavily regulated space with high barriers to AI disruption. However, the digital authentication and brand protection segments face mixed AI dynamics: AI enhances counterfeit detection (enabling Crane NXT), but AI-generated counterfeits and deepfakes also increase the threat landscape. Overall, the core business is protected by physical infrastructure requirements, regulatory moats, and switching costs. AI Opportunity (1/1): Crane NXT's Security and Authentication Technologies segment uses machine learning for digital content authentication across online marketplaces and social media platforms [2]. The Antares Vision acquisition adds AI-powered inspection and track-and-trace capabilities in pharmaceutical manufacturing. These represent direct AI-enabled revenue streams, though not separately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Crane NXT Q2 2026 Earnings Release — Sales $493.2M (+22% YoY, +3% organic), Q2 Net Income $35.4M, H1 Revenue $880.9M (+20%), Raised Adj EPS Guidance $4.22-$4.42, 15-17% Sales Growth Reaffirmed — StockTitan, Simply Wall St, Daily Political, August 2026</w:t>
      </w:r>
    </w:p>
    <w:p>
      <w:pPr>
        <w:spacing w:before="20" w:after="20"/>
        <w:ind w:left="170"/>
      </w:pPr>
      <w:r>
        <w:rPr>
          <w:rFonts w:ascii="Calibri" w:hAnsi="Calibri"/>
          <w:b/>
          <w:color w:val="4A6B25"/>
          <w:sz w:val="15"/>
        </w:rPr>
        <w:t xml:space="preserve">2. </w:t>
      </w:r>
      <w:r>
        <w:rPr>
          <w:rFonts w:ascii="Calibri" w:hAnsi="Calibri"/>
          <w:b w:val="0"/>
          <w:color w:val="3A4A28"/>
          <w:sz w:val="17"/>
        </w:rPr>
        <w:t>Crane NXT Leadership, Culture, and Technology — CEO Aaron Saak (since Nov 2022), 650+ patents, 'performance, trust and respect' culture, Glassdoor 1.9/5, authentication and detection focus — Company Website, Indeed, Glassdoor,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Crane NXT ESG Report and Sustainability — Inaugural ESG report 2023, responsible growth commitments, 13 positive Inspire attributions — CraneNXT.com, MarketScreener,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CXT Key Statistics: Stock Price $50.38, Forward P/E 10.59x, Trailing P/E 17.57x, D/E 90%, ROE 13.59%, Profit Margin 7.84%, Market Cap $3.13B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