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t>
      </w:r>
      <w:r>
        <w:rPr>
          <w:rFonts w:ascii="Calibri" w:hAnsi="Calibri"/>
          <w:b/>
          <w:color w:val="1A2010"/>
          <w:sz w:val="40"/>
        </w:rPr>
        <w:t xml:space="preserve">  Citigroup Inc.</w:t>
      </w:r>
    </w:p>
    <w:p>
      <w:pPr>
        <w:spacing w:after="120"/>
      </w:pPr>
      <w:r>
        <w:rPr>
          <w:rFonts w:ascii="Calibri" w:hAnsi="Calibri"/>
          <w:b/>
          <w:color w:val="6E8450"/>
          <w:sz w:val="18"/>
        </w:rPr>
        <w:t>GROWTH SLEEVE · 2026-08-13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States</w:t>
      </w:r>
    </w:p>
    <w:p>
      <w:pPr>
        <w:spacing w:after="80"/>
      </w:pPr>
      <w:r>
        <w:rPr>
          <w:rFonts w:ascii="Calibri" w:hAnsi="Calibri"/>
          <w:b w:val="0"/>
          <w:color w:val="3A4A28"/>
          <w:sz w:val="20"/>
        </w:rPr>
        <w:t>Citigroup Inc. is a global diversified financial services holding company providing consumer banking, corporate and investment banking, securities brokerage, trade and securities services, and wealth management across approximately 160 countries. Under CEO Jane Fraser (since March 2021), the bank has undergone a five-year transformation — exiting consumer banking in 14 markets, simplifying its organizational structure, and refocusing on institutional services, banking, and wealth management. Q2 2026 delivered record revenue of $24.8B (+14% YoY) with net income of $5.8B (+45%), and ROTCE reached 13%, touching the upper end of the 2027-2028 target range two years early. Market cap approximately $231B.</w:t>
      </w:r>
    </w:p>
    <w:p>
      <w:r>
        <w:rPr>
          <w:rFonts w:ascii="Calibri" w:hAnsi="Calibri"/>
          <w:b/>
          <w:color w:val="6E8450"/>
          <w:sz w:val="18"/>
        </w:rPr>
        <w:t>220,000 Employees · https://www.citigroup.com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Jane Fraser's five-year transformation has fundamentally restructured Citigroup — exiting consumer banking in 14 markets, simplifying the organizational hierarchy, and refocusing the company around institutional services, banking, and wealth management [5]. This is a significant strategic pivot that has produced measurable results: Services delivered its highest-ever quarterly revenue with a 30%+ return, Banking revenue climbed 34%, and Equities trading revenue surged 45% to $2.3B in Q2 2026 [1]. The company went from ROTCE of ~6-7% to 13% under Fraser's leadership. AI Deployment (1/2): Citigroup has mandated AI training for all 175,000 employees, created a network of approximately 4,000 AI 'accelerators and champions' embedded across business units, and appointed Shobhit Varshney as global head of AI [4]. The bank is deploying AI to transform wealth management, with Forbes documenting specific AI-driven client service improvements. However, no specific AI revenue contribution or quantified cost savings have been publicly disclosed. Market Share (1/2): Citigroup is a top-5 global diversified bank by assets. Services revenue at all-time highs and Banking at +34% growth demonstrate meaningful competitive positions, but Citi has not achieved category leadership in any specific business line relative to JPMorgan, Goldman Sachs, or Morgan Stanley. Product Pipeline (0/2): Banks do not have traditional product pipelines. R&amp;D Intensity (0/1): Banks do not have traditional R&amp;D programs, though Citi's technology spend is significant.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Citigroup's stated mission — to 'serve as a trusted partner to our clients by responsibly providing financial services that enable growth and economic progress' — is clear and identifies what the company does and for whom, but does not articulate a deeper purpose that differentiates Citi from peer global banks [3]. The $1 trillion sustainable finance target by 2030 adds intentionality but the core mission reads as standard banking language. Community Impact (1/2): Citigroup has committed $1 trillion in sustainable finance by 2030 and maintains ESG programs with MSCI A rating and Sustainalytics score of 21.9 (average among banks) [3]. The sustainable finance target is substantial, though it includes standard banking activities rebranded as 'sustainable.' No specific charitable giving dollar amounts or distinctive community programs were identified. Employee Retention (0/2): Glassdoor reviews present a mixed picture — some describe senior management as 'focused on protecting themselves' while junior employees absorb pressure. AI training of 175,000 employees shows workforce investment, but no specific retention or tenure data supports above-average employee commitment to the mission [4]. Insider Buying (0/2): No evidence of meaningful insider buying activity by CEO Fraser or other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Citigroup's infrastructure benefits from strong revenue growth momentum (TTM +12.1%), excellent forward valuation (Forward P/E 11.78), and healthy profit margin (TTM 20.1%) [1][2]. However, the bank's structural leverage (D/E 155.6%, inherent to banking where deposits and borrowings inflate liabilities) scores below target, and ROE of 7.7% ($16.5B net income / $214.4B total equity) is suppressed by the large equity base including preferred stock and goodwill [2]. The 5-year revenue CAGR of -0.2% ($75.7B in FY2021 to $75.0B in FY2025) reflects years of restructuring-driven revenue exits before the current growth acceleration. Liquidity is exceptional at ~$834M daily dollar volume (6.06M shares x $137.58). The bank's ROTCE of 13% provides a more operationally relevant profitability measure than accounting ROE, though the mechanical scoring uses the latter.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Citigroup under Jane Fraser plays a mixed game — the five-year transformation demonstrates genuine courage and strategic flexibility (exiting 14 consumer markets, simplifying structure, accepting short-term revenue loss for long-term focus), but the company's purpose remains oriented around financial performance metrics rather than a transcendent Just Cause [5]. Fraser's leadership has been decisive and transformative, and the AI investment in 175,000 employees shows willingness to bet on capability building. However, Glassdoor feedback suggests the organizational culture still has legacy trust issues, and the competitive framing remains focused on ROTCE targets and market share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Citigroup's mission — enabling growth and economic progress through financial services — has some substance as a global development bank operating in 160 countries, with the $1T sustainable finance commitment adding depth [3]. However, the purpose is not distinctive from peer global banks, and strategic decisions under Fraser have been primarily driven by financial efficiency (ROTCE improvement, cost reduction) rather than a higher cause. The mission reads as description, not aspiration.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Fraser's five-year tenure has provided leadership stability, and the massive AI training initiative for 175,000 employees signals investment in people development rather than replacement [4]. However, Glassdoor reviews cite cultural concerns — senior management 'focused on protecting themselves,' pressure pushed to junior employees, and AI projects 'rushed just to show something was being done.' The restructuring involves job cuts alongside capability building, creating tension between trust and efficiency.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Citigroup's competitive language focuses on financial metrics — ROTCE targets, revenue growth rates, and market position relative to JPMorgan and Goldman Sachs. The framing is about 'closing the gap' to peers rather than learning from their strengths. No evidence of management publicly acknowledging specific competitors as worthy rivals in Sinek's sense [1][5].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Fraser's decision to exit consumer banking in 14 markets represents significant strategic adaptation — walking away from established businesses (Mexico, Asia-Pacific consumer operations) to focus the bank on institutional services and wealth management [5]. This required selling profitable operations, restructuring the organizational chart, and redefining Citi's identity. However, the pivot was incremental (shrinking to focus) rather than transformative (entering new markets), and was driven by financial necessity (low returns)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Jane Fraser demonstrates a clear pattern of courageous long-term bets. Exiting consumer banking in 14 markets sacrificed near-term revenue for long-term return improvement — a decision that took five years to pay off [5]. The $500M+ annual technology investment in AI, including mandatory training for 175,000 employees, represents choosing capability over cost-cutting [4]. Restructuring the entire organizational hierarchy during a period of market uncertainty shows willingness to accept disruption for clarity. Fraser inherited a bank 'struggling with dysfunction' and methodically chose right over easy at every turn — accepting the short-term market skepticism that pushed the stock below book value for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Citigroup at 11.78x forward earnings and 1.08x tangible book value represents a deep-value turnaround that is now delivering: Q2 2026 revenue of $24.8B (+14%) beat all 20 analyst estimates, net income of $5.8B (+45%) produced ROTCE of 13% — touching the upper boundary of the 2027-2028 target range two years early [1]. Services revenue hit an all-time high with 30%+ returns, Banking climbed 34%, and Equities surged 45% to $2.3B. The five-year transformation under CEO Fraser is measurably succeeding: the bank is more focused (exited 14 consumer markets), more profitable (ROTCE improved from ~7% to 13%), and more AI-enabled (175,000 employees trained, 4,000 AI champions) [4][5]. The dividend yield of 1.95% with 29% payout ratio provides income with significant room for dividend growth, and 31 analysts maintain a consensus Buy with a $154.50 target (+12.3%).</w:t>
      </w:r>
    </w:p>
    <w:p>
      <w:pPr>
        <w:spacing w:after="120"/>
      </w:pPr>
      <w:r>
        <w:rPr>
          <w:rFonts w:ascii="Calibri" w:hAnsi="Calibri"/>
          <w:b w:val="0"/>
          <w:color w:val="3A4A28"/>
          <w:sz w:val="20"/>
        </w:rPr>
        <w:t>The bear case centers on structural challenges the transformation cannot fully resolve. The 5-year revenue CAGR of -0.2% ($75.7B to $75.0B, FY2021-FY2025) reflects years of revenue exits that the current 12% growth is only beginning to offset — Citigroup's revenue base is smaller than where it started [2]. D/E of 155.6% (inherent to banking) and accounting ROE of 7.7% (suppressed by large equity base) produce below-average infrastructure scores relative to industrial companies. The $500M restructuring program announced alongside Q2 2026 results signals that costs remain too high despite five years of rationalization [1]. The Inspire Impact Score of -67 (MISALIGNED) significantly limits allocation for faith-based mandates. Glassdoor reviews citing senior management self-protection and rushed AI projects suggest the cultural transformation lags the financial one. Regulatory risk remains elevated — the bank still operates under multiple consent orders, and the 2026 expense guidance increase spooked investors despite the earnings beat.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ROTCE improvement trajectory from 13% toward the 15%+ level that would close the valuation gap to JPMorgan and other money-center peers, potentially re-rating the stock from ~1.1x tangible book to 1.5-2.0x [1]</w:t>
      </w:r>
    </w:p>
    <w:p>
      <w:pPr>
        <w:spacing w:before="40" w:after="40"/>
        <w:ind w:left="283"/>
      </w:pPr>
      <w:r>
        <w:rPr>
          <w:rFonts w:ascii="Calibri" w:hAnsi="Calibri"/>
          <w:b/>
          <w:color w:val="4A6B25"/>
          <w:sz w:val="20"/>
        </w:rPr>
        <w:t xml:space="preserve">2. </w:t>
      </w:r>
      <w:r>
        <w:rPr>
          <w:rFonts w:ascii="Calibri" w:hAnsi="Calibri"/>
          <w:b w:val="0"/>
          <w:color w:val="3A4A28"/>
          <w:sz w:val="20"/>
        </w:rPr>
        <w:t>AI-driven revenue acceleration as the 175,000 employee AI training program and 4,000 embedded AI champions begin producing measurable productivity gains across Services, Banking, and Wealth Management [4]</w:t>
      </w:r>
    </w:p>
    <w:p>
      <w:pPr>
        <w:spacing w:before="40" w:after="40"/>
        <w:ind w:left="283"/>
      </w:pPr>
      <w:r>
        <w:rPr>
          <w:rFonts w:ascii="Calibri" w:hAnsi="Calibri"/>
          <w:b/>
          <w:color w:val="4A6B25"/>
          <w:sz w:val="20"/>
        </w:rPr>
        <w:t xml:space="preserve">3. </w:t>
      </w:r>
      <w:r>
        <w:rPr>
          <w:rFonts w:ascii="Calibri" w:hAnsi="Calibri"/>
          <w:b w:val="0"/>
          <w:color w:val="3A4A28"/>
          <w:sz w:val="20"/>
        </w:rPr>
        <w:t>Dividend growth potential with a 29% payout ratio — Citigroup has room to significantly increase the $2.68/share annual dividend as earnings growth continues, potentially pushing yield above 2% and attracting income investors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Expense discipline remains elusive — the $500M restructuring program and higher 2026 expense guidance suggest Citigroup's cost structure has not yet been right-sized despite five years of transformation, and markets punish spending overruns at banks [1]</w:t>
      </w:r>
    </w:p>
    <w:p>
      <w:pPr>
        <w:spacing w:before="40" w:after="40"/>
        <w:ind w:left="283"/>
      </w:pPr>
      <w:r>
        <w:rPr>
          <w:rFonts w:ascii="Calibri" w:hAnsi="Calibri"/>
          <w:b/>
          <w:color w:val="4A6B25"/>
          <w:sz w:val="20"/>
        </w:rPr>
        <w:t xml:space="preserve">2. </w:t>
      </w:r>
      <w:r>
        <w:rPr>
          <w:rFonts w:ascii="Calibri" w:hAnsi="Calibri"/>
          <w:b w:val="0"/>
          <w:color w:val="3A4A28"/>
          <w:sz w:val="20"/>
        </w:rPr>
        <w:t>Regulatory overhang from multiple outstanding consent orders limits capital allocation flexibility and creates headline risk, while compliance costs consume resources that could fund growth investment [5]</w:t>
      </w:r>
    </w:p>
    <w:p>
      <w:pPr>
        <w:spacing w:before="40" w:after="40"/>
        <w:ind w:left="283"/>
      </w:pPr>
      <w:r>
        <w:rPr>
          <w:rFonts w:ascii="Calibri" w:hAnsi="Calibri"/>
          <w:b/>
          <w:color w:val="4A6B25"/>
          <w:sz w:val="20"/>
        </w:rPr>
        <w:t xml:space="preserve">3. </w:t>
      </w:r>
      <w:r>
        <w:rPr>
          <w:rFonts w:ascii="Calibri" w:hAnsi="Calibri"/>
          <w:b w:val="0"/>
          <w:color w:val="3A4A28"/>
          <w:sz w:val="20"/>
        </w:rPr>
        <w:t>Revenue base erosion — 5-year revenue CAGR of -0.2% means the transformation has not yet produced net revenue growth relative to pre-restructuring levels, and any deceleration from the current 12% trajectory would expose the gap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Citigroup's core institutional banking, services, and wealth management businesses are protected by deep regulatory moats (banking licenses, capital requirements, compliance frameworks), complex cross-border relationships, and the inherent trust required in financial intermediation [3]. AI cannot replace a banking license or decades of institutional client relationships. However, AI is reshaping specific banking functions: algorithmic and quantitative trading increasingly displaces human traders, AI-powered lending platforms compete for credit origination, robo-advisors pressure wealth management fees, and fintech competitors using AI-native architectures (Stripe, Square, various neobanks) erode traditional banking margins in payments and consumer lending. Citigroup mitigates this by aggressively adopting AI internally (175K employees trained) rather than waiting to be disrupted [4]. AI Opportunity (1/1): Citigroup is actively deploying AI to transform wealth management, with Forbes documenting AI-driven client service improvements [4]. The bank's 4,000 AI 'accelerators and champions' drive AI adoption across business units, and CEO Fraser's positioning of AI as a 'core driver for future growth' suggests AI is contributing to the revenue acceleration — Services at record highs and Banking +34% likely reflect AI-enhanced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Citigroup Q2 2026 Earnings Release — Revenue $24.8B (+14%), Net Income $5.8B (+45%), EPS $3.15, ROTCE 13%, Services All-Time High, Banking +34%, Equities +45%,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 Financial Data: Forward P/E 11.78, D/E 155.6%, Revenue TTM $81.7B (+12.1%), 5yr CAGR -0.2%, Profit Margin 20.1%,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Citigroup Corporate Website, ESG Reports — Mission, $1T Sustainable Finance Target, MSCI A Rating,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Forbes, Fortune — Citi AI Transformation: 175K Employees Trained, 4K AI Champions, Global Head of AI Shobhit Varshney, Wealth Management AI,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CNBC — CEO Jane Fraser 5-Year Transformation: Exited 14 Consumer Markets, ROTCE from ~7% to 13%, Organizational Restructuring,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