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DNA</w:t>
      </w:r>
      <w:r>
        <w:rPr>
          <w:rFonts w:ascii="Calibri" w:hAnsi="Calibri"/>
          <w:b/>
          <w:color w:val="1A2010"/>
          <w:sz w:val="40"/>
        </w:rPr>
        <w:t xml:space="preserve">  Ginkgo Bioworks Holdings, Inc.</w:t>
      </w:r>
    </w:p>
    <w:p>
      <w:pPr>
        <w:spacing w:after="120"/>
      </w:pPr>
      <w:r>
        <w:rPr>
          <w:rFonts w:ascii="Calibri" w:hAnsi="Calibri"/>
          <w:b/>
          <w:color w:val="6E8450"/>
          <w:sz w:val="18"/>
        </w:rPr>
        <w:t>GROWTH SLEEVE · 2026-08-07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Ginkgo Bioworks operates a platform for cell engineering, offering research and development solutions, AI models, and reconfigurable lab automation that enables customers across pharma, agriculture, and industrial biotech to program cells. The company completed the divestiture of its Biosecurity business in April 2026 to focus resources on scaling an "Autonomous Labs" platform. Founded in 2008 by MIT scientists and led continuously since by co-founder and CEO Jason Kelly.</w:t>
      </w:r>
    </w:p>
    <w:p>
      <w:r>
        <w:rPr>
          <w:rFonts w:ascii="Calibri" w:hAnsi="Calibri"/>
          <w:b/>
          <w:color w:val="6E8450"/>
          <w:sz w:val="18"/>
        </w:rPr>
        <w:t>485 Employees · https://www.ginkgo.bio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Ginkgo completed the divestiture of its Biosecurity business on April 3, 2026 — transferring operations to Perimeter Systems for a roughly 20% equity stake — to refocus entirely on the Autonomous Labs cell-engineering platform, but this is a defensive restructuring amid a 49% YoY revenue decline in Q1 2026, not a clearly successful expansion [1][2]. AI Deployment (1/2): The Autonomous Labs strategy explicitly combines robotic automation with AI-driven cell-engineering design and is shipping to biopharma, agriculture, and industrial-biotech customers, though no quantified savings or incremental revenue figure has been disclosed. Market Share (0/2): No specific market-share data was found, and the company's history includes a 2021 Scorpion Capital report alleging that deferred revenue relied heavily on related-party "customers" Ginkgo itself funded or controlled, undermining confidence in reported commercial traction. Product Pipeline (0/2): Management explicitly "refuses to provide revenue guidance" for 2026, offering only a $125-150M cash-burn target, indicating a lack of pipeline revenue visibility [2]. R&amp;D Intensity (0/1): R&amp;D-heavy spending has not translated into growth — revenue fell 64% on a trailing-twelve-month basis — so intensity is not benchmarked as a positive here.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"Program cells as easily as we can program computers" is a clear and somewhat distinctive articulation of synthetic biology's potential, but execution credibility is damaged by the 2021 Scorpion Capital fraud allegations regarding related-party revenue and the subsequent securities class actions and shareholder-derivative litigation [3]. Community Impact (0/2): No specific charitable or community-investment programs were identified. Employee Retention (0/2): Founder-CEO Jason Kelly's 15+ year tenure is notable, but the broader organization has undergone major restructuring and headcount reduction alongside the Biosecurity divestiture, with no positive retention data found to offset this. Insider Buying (0/2): No insider buying data was identified in the current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growth-classified stock. Debt/equity of roughly 96% is close to but above the 70% target, contributing a small positive to the score, but every other available metric clamps to zero: return on equity of -91.33%, TTM profit margin of -587.24%, FY2025 revenue growth YoY of -25.06% (and TTM decline of -64.10%), and 5-year revenue CAGR of -14.4% are all at or beyond their respective floors [4]. Forward P/E and PEG were unavailable due to the lack of near-term earnings visibility and were excluded from the calculation rather than penalizing the score further. Liquidity is not a constraint: $8.50 stock price times 1.73M average daily volume equals approximately $14.7M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Jason Kelly's 15-plus years of continuous founder leadership and the willingness to divest a once-core Biosecurity segment to refocus on Autonomous Labs reflect real long-horizon thinking, but a severe multi-year revenue collapse, historical fraud allegations, and an unresolved shareholder-derivative settlement keep this in mixed rather than clearly infinite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"Program cells as easily as we program computers" reflects a big, idealistic, service-oriented vision pursued consistently by the same founder for over 15 years, but the 2021 Scorpion Capital fraud allegations regarding related-party revenue and the resulting litigation undercut a fully validated, textbook rating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Steep program rationalization, the Biosecurity divestiture, and a shareholder-derivative lawsuit alleging governance failures (settled with mandated reforms) point to organizational instability rather than psychological safety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competitive-framing language was found in current research to support crediting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Divesting the Biosecurity business — once a core, COVID-era growth segment — in exchange for a minority equity stake in Perimeter Systems, in order to concentrate entirely on Autonomous Labs, is a genuine, existential-level business-model reinvention undertaken under real financial duress rather than from a position of strength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Walking away from a segment that once generated meaningful revenue, in favor of an unproven Autonomous Labs strategy for which management will not yet provide revenue guidance, is a costly, decisive bet on long-term platform relevance over near-term reported results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Ginkgo Bioworks has completed a decisive strategic reset: divesting its Biosecurity business in April 2026 in exchange for a roughly 20% equity stake in Perimeter Systems, and concentrating entirely on scaling its Autonomous Labs platform — an AI- and automation-driven cell-engineering system that CEO Jason Kelly, now 15-plus years into his founder tenure, is betting represents the next evolution of synthetic biology [1][2]. The company ended Q1 2026 with $373M in cash and no bank debt, and reaffirmed 2026 cash-burn guidance of $125-150M, giving it a multi-year runway to prove out the platform without near-term financing pressure, while its core physical cell-engineering work remains structurally immune to AI substitution [1][2].</w:t>
      </w:r>
    </w:p>
    <w:p>
      <w:pPr>
        <w:spacing w:after="120"/>
      </w:pPr>
      <w:r>
        <w:rPr>
          <w:rFonts w:ascii="Calibri" w:hAnsi="Calibri"/>
          <w:b w:val="0"/>
          <w:color w:val="3A4A28"/>
          <w:sz w:val="20"/>
        </w:rPr>
        <w:t>The bear case is severe: Q1 2026 revenue fell 49% YoY to $19M, continuing a multi-year collapse from $477.7M (2022) to $170.2M (FY2025), and management has explicitly declined to provide 2026 revenue guidance, offering only cash-burn targets — a signal that visibility into a Autonomous Labs revenue ramp remains extremely limited [2]. Every core profitability metric — return on equity (-91.33%), profit margin (-587% TTM), and 5-year revenue CAGR (-14.4%) — sits at or beyond the floor of IOWN's infrastructure scale, and the company's history includes a 2021 fraud allegation from Scorpion Capital regarding related-party revenue plus a shareholder-derivative lawsuit that was only recently settled with mandated governance reforms [3][4]. A 2025 memorandum of understanding with Saudi Arabia's Ministry of Investment has also drawn ESG scrutiny that sits awkwardly against the company's stated values-driven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Labs platform demonstrating commercial traction in 2026 with disclosed customer wins or revenue contribution, which management has so far declined to guide</w:t>
      </w:r>
    </w:p>
    <w:p>
      <w:pPr>
        <w:spacing w:before="40" w:after="40"/>
        <w:ind w:left="283"/>
      </w:pPr>
      <w:r>
        <w:rPr>
          <w:rFonts w:ascii="Calibri" w:hAnsi="Calibri"/>
          <w:b/>
          <w:color w:val="4A6B25"/>
          <w:sz w:val="20"/>
        </w:rPr>
        <w:t xml:space="preserve">2. </w:t>
      </w:r>
      <w:r>
        <w:rPr>
          <w:rFonts w:ascii="Calibri" w:hAnsi="Calibri"/>
          <w:b w:val="0"/>
          <w:color w:val="3A4A28"/>
          <w:sz w:val="20"/>
        </w:rPr>
        <w:t>Successful integration and eventual value realization from the roughly 20% equity stake received in the Biosecurity divestiture to Perimeter Systems</w:t>
      </w:r>
    </w:p>
    <w:p>
      <w:pPr>
        <w:spacing w:before="40" w:after="40"/>
        <w:ind w:left="283"/>
      </w:pPr>
      <w:r>
        <w:rPr>
          <w:rFonts w:ascii="Calibri" w:hAnsi="Calibri"/>
          <w:b/>
          <w:color w:val="4A6B25"/>
          <w:sz w:val="20"/>
        </w:rPr>
        <w:t xml:space="preserve">3. </w:t>
      </w:r>
      <w:r>
        <w:rPr>
          <w:rFonts w:ascii="Calibri" w:hAnsi="Calibri"/>
          <w:b w:val="0"/>
          <w:color w:val="3A4A28"/>
          <w:sz w:val="20"/>
        </w:rPr>
        <w:t>Progress toward cash-flow breakeven within the reaffirmed $125-150M 2026 cash-burn guidance, extending runway without further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fallen 49% YoY in the most recent quarter and management refuses to provide 2026 revenue guidance, leaving investors with almost no visibility into the pace of any recovery</w:t>
      </w:r>
    </w:p>
    <w:p>
      <w:pPr>
        <w:spacing w:before="40" w:after="40"/>
        <w:ind w:left="283"/>
      </w:pPr>
      <w:r>
        <w:rPr>
          <w:rFonts w:ascii="Calibri" w:hAnsi="Calibri"/>
          <w:b/>
          <w:color w:val="4A6B25"/>
          <w:sz w:val="20"/>
        </w:rPr>
        <w:t xml:space="preserve">2. </w:t>
      </w:r>
      <w:r>
        <w:rPr>
          <w:rFonts w:ascii="Calibri" w:hAnsi="Calibri"/>
          <w:b w:val="0"/>
          <w:color w:val="3A4A28"/>
          <w:sz w:val="20"/>
        </w:rPr>
        <w:t>Legacy governance and credibility concerns — the 2021 Scorpion Capital fraud allegations regarding related-party revenue and the recently settled shareholder-derivative lawsuit continue to weigh on trust in reported commercial metrics</w:t>
      </w:r>
    </w:p>
    <w:p>
      <w:pPr>
        <w:spacing w:before="40" w:after="40"/>
        <w:ind w:left="283"/>
      </w:pPr>
      <w:r>
        <w:rPr>
          <w:rFonts w:ascii="Calibri" w:hAnsi="Calibri"/>
          <w:b/>
          <w:color w:val="4A6B25"/>
          <w:sz w:val="20"/>
        </w:rPr>
        <w:t xml:space="preserve">3. </w:t>
      </w:r>
      <w:r>
        <w:rPr>
          <w:rFonts w:ascii="Calibri" w:hAnsi="Calibri"/>
          <w:b w:val="0"/>
          <w:color w:val="3A4A28"/>
          <w:sz w:val="20"/>
        </w:rPr>
        <w:t>The entire investment case now rests on an unproven, unguided Autonomous Labs platform following the divestiture of the previously core Biosecurity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Ginkgo's core work — physical cell engineering, wet-lab biology, and biological foundry automation — requires laboratory infrastructure and biological execution that AI alone cannot replace; AI is a complementary design tool rather than a substitute for the physical science, so the severe revenue decline reflects business execution and restructuring issues (the Biosecurity divestiture, program rationalization, and the legacy related-party revenue concerns), not AI disruption [1][2][3]. AI Opportunity (1/1): The Autonomous Labs platform is explicitly an AI- and automation-driven cell-engineering system and is now the company's sole strategic focus post-divestiture, qualifying for the tiebreaker as a named, central AI-enabled product 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Ginkgo Bioworks Reports First Quarter 2026 Financial Results, Completes Divestiture of Biosecurity —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Ginkgo Bioworks Q1 2026 Earnings Call Transcript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Ginkgo Bioworks Shareholder Derivative Settlement and Corporate Governance Reforms — AInvest.com, 2026; Ginkgo Bioworks Goes to Saudi Arabia, Risking ESG Claims — TheStreet</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DNA Key Statistics, Financial Ratios and Revenue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