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EXK</w:t>
      </w:r>
      <w:r>
        <w:rPr>
          <w:rFonts w:ascii="Calibri" w:hAnsi="Calibri"/>
          <w:b/>
          <w:color w:val="1A2010"/>
          <w:sz w:val="40"/>
        </w:rPr>
        <w:t xml:space="preserve">  Endeavour Silver Corp</w:t>
      </w:r>
    </w:p>
    <w:p>
      <w:pPr>
        <w:spacing w:after="120"/>
      </w:pPr>
      <w:r>
        <w:rPr>
          <w:rFonts w:ascii="Calibri" w:hAnsi="Calibri"/>
          <w:b/>
          <w:color w:val="6E8450"/>
          <w:sz w:val="18"/>
        </w:rPr>
        <w:t>GROWTH SLEEVE · 2026-08-13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Silver · NYSE · Canada</w:t>
      </w:r>
    </w:p>
    <w:p>
      <w:pPr>
        <w:spacing w:after="80"/>
      </w:pPr>
      <w:r>
        <w:rPr>
          <w:rFonts w:ascii="Calibri" w:hAnsi="Calibri"/>
          <w:b w:val="0"/>
          <w:color w:val="3A4A28"/>
          <w:sz w:val="20"/>
        </w:rPr>
        <w:t>Endeavour Silver Corp is a mid-tier precious metals mining company with operations in Mexico, Peru, Chile, and the United States. The company transformed from a two-mine operator into a three-mine producer following the commissioning of the Terronera mine in October 2025 and the Kolpa acquisition in May 2025. Q2 2026 delivered record results: revenue of US$212.1M (up 149% YoY), net earnings of US$66.5M (vs. net loss of $20.5M a year earlier), and mine operating cash flow of $99.9M (up 336%). Production guidance for 2026 is 8.3-8.9M oz silver and 46K-48K oz gold, representing approximately 30% growth. Headquartered in Vancouver, Canada.</w:t>
      </w:r>
    </w:p>
    <w:p>
      <w:r>
        <w:rPr>
          <w:rFonts w:ascii="Calibri" w:hAnsi="Calibri"/>
          <w:b/>
          <w:color w:val="6E8450"/>
          <w:sz w:val="18"/>
        </w:rPr>
        <w:t>2,200 Employees · https://www.edrsilver.com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Endeavour Silver successfully commissioned the Terronera mine (commercial production October 2025) and completed the Kolpa acquisition (May 2025), transforming from a two-mine to a three-mine operator with 30%+ production growth [1]. Q2 2026 production reached 1.94M oz silver (up 31% YoY) and 10,474 oz gold (up 35% YoY), with revenue surging 149% to $212.1M. This represents a significant operational expansion for a junior-to-mid-tier miner. AI Deployment (0/2): No AI products or AI-driven operational improvements reported. Market Share (1/2): Mid-tier silver producer gaining meaningful scale — production guidance of 8.3-8.9M oz silver for 2026 positions EXK as a growing player, though still smaller than Pan American Silver (~20M oz) or First Majestic Silver (~10M oz) [1]. Product Pipeline (1/2): Terronera is still ramping to full nameplate capacity through 2026, with optimization expected to drive further AISC reduction. The July 2026 investor presentation outlined 30% production growth targets [2]. R&amp;D Intensity (1/1): The $350M+ Terronera development and ongoing exploration program represent above-average capital deployment for a company of this size, demonstrating commitment to growth over cash conservation.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Endeavour Silver operates as a silver mining company focused on building production capacity and creating shareholder value. The company lacks a transformative or enduring purpose beyond responsible mining and growth — the articulated vision centers on production volumes and cost curves rather than a broader purpose that would inspire stakeholders beyond financial returns [3]. Community Impact (1/2): Mining operations in Mexico and Peru involve community engagement, local employment in developing regions, and environmental stewardship. The company invested $1.5 million in environmental initiatives, planted 34,500 trees, and has reported on sustainability for five consecutive years under GRI G4 framework [4]. Meaningful but not distinctive relative to peers. Employee Retention (1/2): Glassdoor reviews describe a 'wonderful corporate culture' and 'very fair' treatment of employees, with the company managing 2,200 employees across international operations in four countries through significant operational expansion [3]. Average retention without standout data. Insider Buying (0/2): No evidence of meaningful net insider buying by CEO Dan Dickson or other executives in the last 12 months was identified in public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Growth stock (PEG excluded). The company is in a dramatic profitability inflection — Q2 2026 alone delivered $66.5M net earnings on $212.1M revenue (31% margin) with mine operating cash flow surging 336% to $99.9M [1]. However, TTM metrics still reflect the pre-transformation period: ROE of -3.88% (score 0, 2x weight) and profit margin of -3.47% (score 0) include the loss-making quarters prior to Terronera commissioning [5]. D/E of 38.42% is well-controlled for a miner that just completed a major mine build (score 1.0). Revenue growth of 149% YoY in Q2 2026 easily exceeds the 10% target (score 1.0). Forward P/E of 7.50x reflects significant expected profitability improvement as Terronera ramps to full capacity (score 1.0). 5-year revenue CAGR of approximately 30% exceeds the 10% target (score 1.0, 2x weight). Weighted sum: 5.0/8.0 = 6. Clears liquidity floor with approximately $56M daily turnover ($8 x 7M shares).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Endeavour Silver shows mixed infinite game signals. Management demonstrated exceptional courage in committing over $350M to build the Terronera mine and acquiring Kolpa to diversify the production base during volatile silver markets — genuinely bold capital allocation for a company this size. The 'wonderful corporate culture' cited by employees and responsible ESG practices suggest some infinite game qualities. However, the company lacks a distinctive Just Cause beyond standard mining operations, the mining industry's inherently extractive and finite-resource nature limits the infinite game ceiling, and competitive language remains production-volume and cost-curve oriented.</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EXK operates as a silver mining company focused on building production capacity and creating shareholder value. The company lacks a transformative or enduring purpose beyond responsible mining and growth — no distinctive vision that would inspire stakeholders beyond financial returns [3]. CEO Dan Dickson emphasizes profitability, safety performance, and ESG principles, but these are operational priorities rather than a Just Cause that shapes strategic decisions and invites others to contribute to a larger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reviews describe 'wonderful corporate culture,' 'very fair' treatment, and a 'socially responsible' workplace [3]. Managing 2,200 employees across international operations in Mexico, Peru, Chile, and the US through the significant organizational upheaval of commissioning Terronera and integrating Kolpa — without major labor disputes or cultural disruption — suggests functional team dynamics and adequate organizational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 competitive mindset in public communications. Mining industry discourse tends toward finite competitive language centered on production rankings, cost curves, AISC comparisons, and reserve size — metrics of winning rather than learning. EXK benchmarks against peers on production and cost metrics without acknowledging where rivals like Pan American Silver or First Majestic Silver excel.</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Endeavour Silver evolved from a small single-mine operator to a diversified three-mine producer across multiple countries through the development of Terronera and acquisition of Kolpa [1]. The company adapted its strategy as legacy mines aged, showing willingness to invest heavily in new production capacity and geographic diversification rather than simply managing decline. However, these are incremental expansions within the same business model rather than a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Management demonstrated exceptional courage committing $350M+ to build the Terronera mine during uncertain and volatile silver markets, acquiring Kolpa to diversify the production base, and issuing $350M in convertible notes in December 2025 to fund growth [1]. These decisions represent a transformative bet on long-term production capacity over short-term financial safety — the $350M Terronera investment was larger than the company's entire market cap at the time the decision was made. Q2 2026 results ($66.5M net earnings, 336% cash flow growth) validate this courage, demonstrating that the investments are delivering returns.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Endeavour Silver is in a dramatic profitability inflection driven by the successful commissioning of Terronera and the Kolpa acquisition. Q2 2026 delivered record results: revenue of $212.1M (up 149% YoY), net earnings of $66.5M (vs. net loss of $20.5M a year ago), and mine operating cash flow of $99.9M (up 336%) [1]. Production reached 1.94M oz silver (up 31%) and 10,474 oz gold (up 35%) with guidance for 8.3-8.9M oz silver in 2026. At a forward P/E of just 7.50x, the stock is deeply discounted relative to the emerging profitability as Terronera ramps to full capacity. D/E of 38.42% is conservative for a miner that just completed a major mine build. Silver's dual role as precious metal and critical industrial input for solar, electronics, and AI infrastructure creates favorable long-term demand dynamics. Management's courageous $350M+ Terronera investment is now delivering returns, validating the transformation strategy.</w:t>
      </w:r>
    </w:p>
    <w:p>
      <w:pPr>
        <w:spacing w:after="120"/>
      </w:pPr>
      <w:r>
        <w:rPr>
          <w:rFonts w:ascii="Calibri" w:hAnsi="Calibri"/>
          <w:b w:val="0"/>
          <w:color w:val="3A4A28"/>
          <w:sz w:val="20"/>
        </w:rPr>
        <w:t>The bear case acknowledges that the profitability inflection is real but not yet reflected in TTM metrics — ROE of -3.88% and profit margin of -3.47% still include loss-making quarters from the pre-Terronera period [5]. AISC must continue declining from elevated levels as Terronera reaches steady-state production for the profitability thesis to sustain. The $350M convertible notes issued in December 2025 introduce dilution risk if the stock price exceeds the conversion threshold and add interest expense during the ramp-up phase. Mining execution risk remains significant — underground operations in Mexico and Peru carry operational, regulatory, and geopolitical risks, and Q2 adjusted EPS of $0.15 fell short of the $0.19 consensus estimate despite record revenue [1]. Silver price volatility is amplified through EXK's high beta, meaning a correction below $30/oz would compress margins and delay the earnings recovery. The Inspire Impact Score of 0 (MIXED) reflects limited ESG coverage data rather than identified concerns.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Terronera mine ramping to full nameplate capacity through 2026, expected to drive significant AISC reduction and margin expansion as fixed costs are absorbed over higher production volumes — Q2 2026 results ($66.5M net earnings, 31% margin) demonstrate the emerging profitability trajectory [1]</w:t>
      </w:r>
    </w:p>
    <w:p>
      <w:pPr>
        <w:spacing w:before="40" w:after="40"/>
        <w:ind w:left="283"/>
      </w:pPr>
      <w:r>
        <w:rPr>
          <w:rFonts w:ascii="Calibri" w:hAnsi="Calibri"/>
          <w:b/>
          <w:color w:val="4A6B25"/>
          <w:sz w:val="20"/>
        </w:rPr>
        <w:t xml:space="preserve">2. </w:t>
      </w:r>
      <w:r>
        <w:rPr>
          <w:rFonts w:ascii="Calibri" w:hAnsi="Calibri"/>
          <w:b w:val="0"/>
          <w:color w:val="3A4A28"/>
          <w:sz w:val="20"/>
        </w:rPr>
        <w:t>Silver price strength driven by industrial demand from solar manufacturing, electronics, 5G infrastructure, and AI data center construction, combined with constrained global mine supply — each $1/oz silver price increase adds approximately $8-9M in annual revenue at current production rates</w:t>
      </w:r>
    </w:p>
    <w:p>
      <w:pPr>
        <w:spacing w:before="40" w:after="40"/>
        <w:ind w:left="283"/>
      </w:pPr>
      <w:r>
        <w:rPr>
          <w:rFonts w:ascii="Calibri" w:hAnsi="Calibri"/>
          <w:b/>
          <w:color w:val="4A6B25"/>
          <w:sz w:val="20"/>
        </w:rPr>
        <w:t xml:space="preserve">3. </w:t>
      </w:r>
      <w:r>
        <w:rPr>
          <w:rFonts w:ascii="Calibri" w:hAnsi="Calibri"/>
          <w:b w:val="0"/>
          <w:color w:val="3A4A28"/>
          <w:sz w:val="20"/>
        </w:rPr>
        <w:t>TTM financial metrics transitioning from negative to positive as profitable Q1-Q4 2026 quarters replace the loss-making H2 2025 quarters, which should drive re-rating as trailing ROE and profit margin turn positive and attract institutional investors who screen on TTM profitability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Q2 adjusted EPS of $0.15 missed the $0.19 consensus estimate despite 149% revenue growth, suggesting cost management and margin execution remain challenges as Terronera ramps — failure to reduce AISC toward peer levels could prevent the sustained profitability embedded in the forward P/E of 7.50x [1]</w:t>
      </w:r>
    </w:p>
    <w:p>
      <w:pPr>
        <w:spacing w:before="40" w:after="40"/>
        <w:ind w:left="283"/>
      </w:pPr>
      <w:r>
        <w:rPr>
          <w:rFonts w:ascii="Calibri" w:hAnsi="Calibri"/>
          <w:b/>
          <w:color w:val="4A6B25"/>
          <w:sz w:val="20"/>
        </w:rPr>
        <w:t xml:space="preserve">2. </w:t>
      </w:r>
      <w:r>
        <w:rPr>
          <w:rFonts w:ascii="Calibri" w:hAnsi="Calibri"/>
          <w:b w:val="0"/>
          <w:color w:val="3A4A28"/>
          <w:sz w:val="20"/>
        </w:rPr>
        <w:t>The $350M convertible notes issued December 2025 create dilution risk and increase financial leverage during a critical operational transition, with interest expense consuming cash that could otherwise fund exploration or debt reduction</w:t>
      </w:r>
    </w:p>
    <w:p>
      <w:pPr>
        <w:spacing w:before="40" w:after="40"/>
        <w:ind w:left="283"/>
      </w:pPr>
      <w:r>
        <w:rPr>
          <w:rFonts w:ascii="Calibri" w:hAnsi="Calibri"/>
          <w:b/>
          <w:color w:val="4A6B25"/>
          <w:sz w:val="20"/>
        </w:rPr>
        <w:t xml:space="preserve">3. </w:t>
      </w:r>
      <w:r>
        <w:rPr>
          <w:rFonts w:ascii="Calibri" w:hAnsi="Calibri"/>
          <w:b w:val="0"/>
          <w:color w:val="3A4A28"/>
          <w:sz w:val="20"/>
        </w:rPr>
        <w:t>Silver price volatility amplified by EXK's high beta — a correction below $30/oz would compress margins, delay the profitability transition, and potentially trigger covenant concerns on the convertible debt while the TTM metrics remain negative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IMMUNE. Silver mining is an entirely physical-world operation involving underground extraction, mineral processing, and metallurgical refining that AI structurally cannot displace [1]. The business requires massive physical infrastructure — underground mine development, ore processing mills, tailings management, and geological expertise — that exists entirely beyond the digital domain. Silver is a critical industrial metal used in solar panels, electronics, medical applications, and 5G infrastructure, and AI adoption across the economy directly increases demand for silver through expanded electronics manufacturing and solar energy deployment needed for AI data center power. No analysts have identified AI as a displacement risk to precious metals mining. AI Opportunity (0/1): No AI-related revenue. Mining operations do not generate meaningful AI-related revenue streams, though silver demand benefits indirectly from AI-driven electronics and renewable energy expansion.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Endeavour Silver Q2 2026 Financial Results — Revenue $212.1M (+149%), Net Earnings $66.5M, Mine Operating Cash Flow $99.9M (+336%), Production 1.94M oz Ag + 10.5K oz Au, StreetWise Reports/StockTitan, August 2026</w:t>
      </w:r>
    </w:p>
    <w:p>
      <w:pPr>
        <w:spacing w:before="20" w:after="20"/>
        <w:ind w:left="170"/>
      </w:pPr>
      <w:r>
        <w:rPr>
          <w:rFonts w:ascii="Calibri" w:hAnsi="Calibri"/>
          <w:b/>
          <w:color w:val="4A6B25"/>
          <w:sz w:val="15"/>
        </w:rPr>
        <w:t xml:space="preserve">2. </w:t>
      </w:r>
      <w:r>
        <w:rPr>
          <w:rFonts w:ascii="Calibri" w:hAnsi="Calibri"/>
          <w:b w:val="0"/>
          <w:color w:val="3A4A28"/>
          <w:sz w:val="17"/>
        </w:rPr>
        <w:t>Endeavour Silver July 2026 Investor Presentation — 30% production growth targets, 2026 guidance 8.3-8.9M oz silver, 46K-48K oz gold, Investing.com, July 2026</w:t>
      </w:r>
    </w:p>
    <w:p>
      <w:pPr>
        <w:spacing w:before="20" w:after="20"/>
        <w:ind w:left="170"/>
      </w:pPr>
      <w:r>
        <w:rPr>
          <w:rFonts w:ascii="Calibri" w:hAnsi="Calibri"/>
          <w:b/>
          <w:color w:val="4A6B25"/>
          <w:sz w:val="15"/>
        </w:rPr>
        <w:t xml:space="preserve">3. </w:t>
      </w:r>
      <w:r>
        <w:rPr>
          <w:rFonts w:ascii="Calibri" w:hAnsi="Calibri"/>
          <w:b w:val="0"/>
          <w:color w:val="3A4A28"/>
          <w:sz w:val="17"/>
        </w:rPr>
        <w:t>Endeavour Silver Leadership, Culture, and ESG — CEO Dan Dickson, Glassdoor reviews ('wonderful corporate culture'), sustainability reporting, edrsilver.com/The Org, 2024-2026</w:t>
      </w:r>
    </w:p>
    <w:p>
      <w:pPr>
        <w:spacing w:before="20" w:after="20"/>
        <w:ind w:left="170"/>
      </w:pPr>
      <w:r>
        <w:rPr>
          <w:rFonts w:ascii="Calibri" w:hAnsi="Calibri"/>
          <w:b/>
          <w:color w:val="4A6B25"/>
          <w:sz w:val="15"/>
        </w:rPr>
        <w:t xml:space="preserve">4. </w:t>
      </w:r>
      <w:r>
        <w:rPr>
          <w:rFonts w:ascii="Calibri" w:hAnsi="Calibri"/>
          <w:b w:val="0"/>
          <w:color w:val="3A4A28"/>
          <w:sz w:val="17"/>
        </w:rPr>
        <w:t>Endeavour Silver ESG and Sustainability — $1.5M environmental investment, 34,500 trees planted, GRI G4 reporting for 5 consecutive years, KnowESG (Risk: 35.9), 2024-2026</w:t>
      </w:r>
    </w:p>
    <w:p>
      <w:pPr>
        <w:spacing w:before="20" w:after="20"/>
        <w:ind w:left="170"/>
      </w:pPr>
      <w:r>
        <w:rPr>
          <w:rFonts w:ascii="Calibri" w:hAnsi="Calibri"/>
          <w:b/>
          <w:color w:val="4A6B25"/>
          <w:sz w:val="15"/>
        </w:rPr>
        <w:t xml:space="preserve">5. </w:t>
      </w:r>
      <w:r>
        <w:rPr>
          <w:rFonts w:ascii="Calibri" w:hAnsi="Calibri"/>
          <w:b w:val="0"/>
          <w:color w:val="3A4A28"/>
          <w:sz w:val="17"/>
        </w:rPr>
        <w:t>Yahoo Finance, StockAnalysis — EXK Key Statistics: Forward P/E 7.50x, ROE -3.88%, D/E 38.42%, Profit Margin -3.47%, Stock Price ~$8, Avg Volume 7.07M,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