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FBLG</w:t>
      </w:r>
      <w:r>
        <w:rPr>
          <w:rFonts w:ascii="Calibri" w:hAnsi="Calibri"/>
          <w:b/>
          <w:color w:val="1A2010"/>
          <w:sz w:val="40"/>
        </w:rPr>
        <w:t xml:space="preserve">  FibroBiologics, Inc.</w:t>
      </w:r>
    </w:p>
    <w:p>
      <w:pPr>
        <w:spacing w:after="120"/>
      </w:pPr>
      <w:r>
        <w:rPr>
          <w:rFonts w:ascii="Calibri" w:hAnsi="Calibri"/>
          <w:b/>
          <w:color w:val="6E8450"/>
          <w:sz w:val="18"/>
        </w:rPr>
        <w:t>GROWTH SLEEVE · 2026-09-09 · Inspire: 35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States</w:t>
      </w:r>
    </w:p>
    <w:p>
      <w:pPr>
        <w:spacing w:after="80"/>
      </w:pPr>
      <w:r>
        <w:rPr>
          <w:rFonts w:ascii="Calibri" w:hAnsi="Calibri"/>
          <w:b w:val="0"/>
          <w:color w:val="3A4A28"/>
          <w:sz w:val="20"/>
        </w:rPr>
        <w:t>FibroBiologics is a clinical-stage biotechnology company developing fibroblast-based cell therapies and fibroblast-derived materials for chronic diseases including diabetic foot ulcers, multiple sclerosis, degenerative disc disease, psoriasis, and longevity-related indications. The company holds 270+ US and international patents. Lead program CYWC628 achieved first patient dosing in a Phase 1/2 trial for diabetic foot ulcers in Q2 2026, with interim results expected 2H 2026 and primary safety/efficacy data by year-end. The company strengthened its balance sheet with $9M private placement and $3M public offering. Q2 2026 cash was $3.5M. Founded by CEO Pete O'Heeron, headquartered in Houston, Texas.</w:t>
      </w:r>
    </w:p>
    <w:p>
      <w:r>
        <w:rPr>
          <w:rFonts w:ascii="Calibri" w:hAnsi="Calibri"/>
          <w:b/>
          <w:color w:val="6E8450"/>
          <w:sz w:val="18"/>
        </w:rPr>
        <w:t>25 Employees · https://www.fibrobiologics.com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FibroBiologics has advanced a novel fibroblast cell therapy platform with 270+ patents across wound healing, multiple sclerosis, disc degeneration, psoriasis, and longevity [1][2]. The company achieved first patient dosing in the CYWC628 Phase 1/2 trial for diabetic foot ulcers in Q2 2026, a concrete clinical milestone, with interim results expected 2H 2026 and primary data by year-end [3]. The CYMS101 program for multiple sclerosis completed a 5-patient Phase 1 safety study in Mexico. However, no transformative product launches, completed pivotal trials, or commercial products exist. AI Deployment (0/2): No AI-powered products or AI-driven operational efficiencies reported. The company uses conventional cell biology and drug development methods [2]. Market Share (0/2): Pre-revenue micro-cap with no commercial market presence; the fibroblast cell therapy space is nascent with no established market to lead [1]. Product Pipeline (1/2): Lead CYWC628 now dosing patients in Phase 1/2 for diabetic foot ulcers; CYPS317 psoriasis IND filed December 2025; CYMS101 MS US IND planned; CybroCell degenerative disc disease has FDA IND clearance [3]. Multiple shots on goal but all early-stage. R&amp;D Intensity (1/1): R&amp;D expenses of $1.7M in Q2 2026 on zero revenue demonstrate full commitment to research, though absolute spending is modest reflecting micro-cap scale [3].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FibroBiologics' purpose — developing treatments and seeking potential cures for chronic diseases using fibroblast cells — is clear and patient-focused [2]. Company leadership authored an opinion editorial highlighting fibroblast cells' therapeutic advantages over traditional stem cell therapies, demonstrating scientific conviction and thought leadership [4]. However, the mission is standard biotech formulation without a distinctive vision that would set it apart from hundreds of other cell therapy companies. Community Impact (0/2): No evidence of charitable programs, foundation activity, or community investment beyond clinical trial patient access. The ~25-person team and micro-cap status limit community reach. Employee Retention (0/2): No publicly available retention or culture data for this micro-cap biotech. Recent hires include CFO Jason Davis and General Counsel Ruben Garcia, but no employee sentiment data exists. Insider Buying (1/2): Multiple insiders purchased shares at depressed prices in early 2026 — CFO Jason Davis bought 70,000 shares in March 2026 and General Counsel Ruben Garcia bought 40,000 shares in February 2026 — demonstrating deliberate insider conviction at sub-$0.50 price levels [5].</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AT RISK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LIQUIDITY FLOOR TRIGGERED: Estimated avg_daily_volume (~200,000 shares) x stock_price ($0.65) = ~$130,000, far below the $1,000,000 minimum threshold. Infrastructure score is automatically set to 0 [5]. For context: FibroBiologics reported a $4.1M net loss in Q2 2026 with R&amp;D expenses of $1.7M and G&amp;A of $2.4M [3]. Cash of $3.5M as of June 30, 2026 was supplemented by a $9.0M private placement ($3.0M upfront, ~$6.0M via warrant exercises) and a $3.0M public offering in April 2026 [3]. Even with these raises, operating expenses of ~$16-18M annually against zero revenue imply the company must continue raising capital frequently. Share dilution has been substantial — shares outstanding increased 58.6% YoY. The stock trades near its all-time low following a 1-for-20 reverse stock split in April 2026 to maintain Nasdaq compliance.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2</w:t>
      </w:r>
      <w:r>
        <w:rPr>
          <w:rFonts w:ascii="Calibri" w:hAnsi="Calibri"/>
          <w:b w:val="0"/>
          <w:color w:val="9DAF88"/>
          <w:sz w:val="18"/>
        </w:rPr>
        <w:t xml:space="preserve"> /10</w:t>
      </w:r>
    </w:p>
    <w:p>
      <w:pPr>
        <w:spacing w:after="120"/>
      </w:pPr>
      <w:r>
        <w:rPr>
          <w:rFonts w:ascii="Calibri" w:hAnsi="Calibri"/>
          <w:b w:val="0"/>
          <w:color w:val="3A4A28"/>
          <w:sz w:val="18"/>
        </w:rPr>
        <w:t>FibroBiologics is a founder-led micro-cap biotech that has persisted with its fibroblast therapy vision despite extreme resource constraints — achieving first patient dosing in CYWC628 despite a $4M market cap and constant capital pressure. CEO Pete O'Heeron's personal conviction is evident through the 270+ patent portfolio and continued fundraising to advance the pipeline. However, the company lacks the organizational maturity, multi-decade track record, or financial stability that enables infinite game thinking. With $3.5M in cash against ~$16-18M annual burn and Nasdaq compliance at risk, strategic decisions are necessarily dominated by near-term survival rather than long-term vision.</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FibroBiologics articulates a purpose focused on curing chronic diseases through novel fibroblast cell therapy — a genuine patient-focused mission that guides scientific direction [2]. Company leadership authored a scientific editorial positioning fibroblast cells as superior to traditional stem cell therapies, demonstrating intellectual conviction beyond commercial positioning [4]. However, the cause has not been validated by years of execution, survived leadership transitions, or been tested through market crises. The 270+ patent portfolio demonstrates intellectual commitment, but a Just Cause requires organizational proof.</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With approximately 25 employees, a $4M market cap, and constant need for dilutive financing, building trusting teams is structurally difficult. Cash of $3.5M as of Q2 2026 against quarterly burn of ~$4M creates existential uncertainty that challenges organizational stability [3]. The 58.6% increase in shares outstanding through dilutive capital raises creates compensation uncertainty for equity-holding employees. No data on employee empowerment, psychological safety, or voluntary turnover exists.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FibroBiologics positions fibroblast therapy as a novel approach distinct from mesenchymal stem cells, with leadership authoring an editorial arguing fibroblasts' therapeutic advantages [4]. However, no public evidence of how the company views competitors in the regenerative medicine and cell therapy space (Vertex, bluebird bio, Legend Biotech) as sources of competitive learning. The competitive posture is claim-staking rather than improvement-seeking.</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FibroBiologics has pursued fibroblast-based therapy consistently since founding, applying the platform across multiple indications (wound healing, MS, disc disease, psoriasis) but never fundamentally pivoting from the core fibroblast approach [2][3]. The multi-indication strategy shows breadth of ambition within the same scientific paradigm but not evidence of strategic flexibility under pressure. At this early stage, it is unclear whether the company could adapt if fibroblast therapy fails to demonstrate clinical efficacy.</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CEO Pete O'Heeron has persisted with the fibroblast therapy vision despite a sub-$5M market capitalization, Nasdaq compliance challenges, and the inherent difficulty of raising capital for early-stage cell therapy [2][3]. Multiple insiders purchased shares at sub-$0.50 prices in early 2026, putting personal capital at risk when the stock was in severe distress [5]. The company secured $12M in capital raises ($9M private placement + $3M public offering) to fund clinical advancement. However, the courage is primarily survival persistence rather than strategic sacrifice — the company has not faced a situation requiring a costly long-term bet over short-term safety.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FibroBiologics represents a speculative bet on a novel cell therapy platform with 270+ patents covering fibroblast-based treatments across multiple chronic disease indications [2]. The lead program CYWC628 achieved first patient dosing in a Phase 1/2 trial for diabetic foot ulcers in Q2 2026, with interim results expected 2H 2026 and primary safety/efficacy data by year-end — the first clinical validation of the fibroblast spheroid approach [3]. The company secured $12M in capital ($9M private placement, $3M public offering) to fund clinical advancement. CFO and General Counsel purchased shares at sub-$0.50 levels, demonstrating management conviction [5]. The 2-analyst Buy consensus with $13.50 average price target suggests substantial upside if clinical data validates the platform. The fibroblast approach targets large addressable markets — diabetic foot ulcers ($5B+), psoriasis ($20B+), multiple sclerosis ($28B+). Inspire Impact Score of 35 (ALIGNED) is a positive for faith-based investors.</w:t>
      </w:r>
    </w:p>
    <w:p>
      <w:pPr>
        <w:spacing w:after="120"/>
      </w:pPr>
      <w:r>
        <w:rPr>
          <w:rFonts w:ascii="Calibri" w:hAnsi="Calibri"/>
          <w:b w:val="0"/>
          <w:color w:val="3A4A28"/>
          <w:sz w:val="20"/>
        </w:rPr>
        <w:t>The bear case is overwhelming for a position-sized investment. FibroBiologics fails the IOWN liquidity floor with daily dollar volume of approximately $130,000, making it essentially untradeable for any institutional strategy [5]. The $4M market cap against ~$16-18M in annual operating expenses means the company must raise capital imminently and repeatedly, guaranteeing severe dilution — shares outstanding already increased 58.6% YoY [3][5]. Cash of $3.5M as of Q2 2026 funds approximately one quarter of operations even after the $12M in recent raises, and the 1-for-20 reverse stock split in April 2026 was needed to maintain Nasdaq compliance [3]. All clinical programs are Phase 1 or earlier, meaning years of development remain before any potential revenue. The company has zero revenue, deeply negative cash flow, and competes against well-capitalized cell therapy companies with established manufacturing and commercial capabilities. The stock trades near its all-time low at $0.65, and the micro-cap status creates liquidity risk that makes position sizing nearly impossible.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CYWC628 Phase 1/2 interim results expected 2H 2026 with primary safety and efficacy data by year-end for diabetic foot ulcers — first clinical validation of the fibroblast spheroid therapeutic approach [3]</w:t>
      </w:r>
    </w:p>
    <w:p>
      <w:pPr>
        <w:spacing w:before="40" w:after="40"/>
        <w:ind w:left="283"/>
      </w:pPr>
      <w:r>
        <w:rPr>
          <w:rFonts w:ascii="Calibri" w:hAnsi="Calibri"/>
          <w:b/>
          <w:color w:val="4A6B25"/>
          <w:sz w:val="20"/>
        </w:rPr>
        <w:t xml:space="preserve">2. </w:t>
      </w:r>
      <w:r>
        <w:rPr>
          <w:rFonts w:ascii="Calibri" w:hAnsi="Calibri"/>
          <w:b w:val="0"/>
          <w:color w:val="3A4A28"/>
          <w:sz w:val="20"/>
        </w:rPr>
        <w:t>CYPS317 psoriasis IND and CYMS101 multiple sclerosis US IND filings could open larger therapeutic markets and attract partnership interest from established pharmaceutical companies [2]</w:t>
      </w:r>
    </w:p>
    <w:p>
      <w:pPr>
        <w:spacing w:before="40" w:after="40"/>
        <w:ind w:left="283"/>
      </w:pPr>
      <w:r>
        <w:rPr>
          <w:rFonts w:ascii="Calibri" w:hAnsi="Calibri"/>
          <w:b/>
          <w:color w:val="4A6B25"/>
          <w:sz w:val="20"/>
        </w:rPr>
        <w:t xml:space="preserve">3. </w:t>
      </w:r>
      <w:r>
        <w:rPr>
          <w:rFonts w:ascii="Calibri" w:hAnsi="Calibri"/>
          <w:b w:val="0"/>
          <w:color w:val="3A4A28"/>
          <w:sz w:val="20"/>
        </w:rPr>
        <w:t>Potential strategic partnership or licensing deal leveraging the 270+ patent portfolio to provide non-dilutive funding and scientific validation from a larger biopharma partner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Liquidity floor breach — daily dollar volume of ~$130K makes the stock untradeable for institutional investors and disqualifies it from IOWN screening criteria [5]</w:t>
      </w:r>
    </w:p>
    <w:p>
      <w:pPr>
        <w:spacing w:before="40" w:after="40"/>
        <w:ind w:left="283"/>
      </w:pPr>
      <w:r>
        <w:rPr>
          <w:rFonts w:ascii="Calibri" w:hAnsi="Calibri"/>
          <w:b/>
          <w:color w:val="4A6B25"/>
          <w:sz w:val="20"/>
        </w:rPr>
        <w:t xml:space="preserve">2. </w:t>
      </w:r>
      <w:r>
        <w:rPr>
          <w:rFonts w:ascii="Calibri" w:hAnsi="Calibri"/>
          <w:b w:val="0"/>
          <w:color w:val="3A4A28"/>
          <w:sz w:val="20"/>
        </w:rPr>
        <w:t>Existential capital risk — $3.5M cash as of Q2 2026 against ~$4M quarterly burn requires immediate and repeated capital raises, guaranteeing further severe shareholder dilution beyond the 58.6% YoY share increase already incurred [3]</w:t>
      </w:r>
    </w:p>
    <w:p>
      <w:pPr>
        <w:spacing w:before="40" w:after="40"/>
        <w:ind w:left="283"/>
      </w:pPr>
      <w:r>
        <w:rPr>
          <w:rFonts w:ascii="Calibri" w:hAnsi="Calibri"/>
          <w:b/>
          <w:color w:val="4A6B25"/>
          <w:sz w:val="20"/>
        </w:rPr>
        <w:t xml:space="preserve">3. </w:t>
      </w:r>
      <w:r>
        <w:rPr>
          <w:rFonts w:ascii="Calibri" w:hAnsi="Calibri"/>
          <w:b w:val="0"/>
          <w:color w:val="3A4A28"/>
          <w:sz w:val="20"/>
        </w:rPr>
        <w:t>All programs are Phase 1 or preclinical with years of clinical development remaining — no efficacy data exists for any indication, and the entire investment thesis rests on an unvalidated fibroblast cell therapy mechanism competing against well-capitalized cell therapy leaders [2][3]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FibroBiologics operates in regenerative cell therapy, which involves harvesting, culturing, and administering living fibroblast cells to patients — a deeply physical and biologically complex process that AI cannot substitute [2]. Clinical trials require FDA regulatory approval, physical patient enrollment, biological sample handling, and years of safety monitoring. Cell therapy manufacturing involves specialized cGMP cleanroom facilities (manufactured with Charles River) and biological processes that are inherently non-digital [4]. However, AI-driven drug discovery and competing regenerative medicine approaches (gene therapy, mRNA therapeutics) could reduce demand for fibroblast-based therapies if alternative modalities prove more effective over time. AI Opportunity (0/1): No AI-specific revenue or AI-enhanced products; the fibroblast cell therapy platform is entirely biology-driven with conventional drug development methods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35</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Product Access and Affordability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FibroBiologics FY2025 Annual Report and CEO Shareholder Letter — R&amp;D $8.58M, Net Loss $18.6M, 270+ Patents, Pipeline Strategy, January 2026</w:t>
      </w:r>
    </w:p>
    <w:p>
      <w:pPr>
        <w:spacing w:before="20" w:after="20"/>
        <w:ind w:left="170"/>
      </w:pPr>
      <w:r>
        <w:rPr>
          <w:rFonts w:ascii="Calibri" w:hAnsi="Calibri"/>
          <w:b/>
          <w:color w:val="4A6B25"/>
          <w:sz w:val="15"/>
        </w:rPr>
        <w:t xml:space="preserve">2. </w:t>
      </w:r>
      <w:r>
        <w:rPr>
          <w:rFonts w:ascii="Calibri" w:hAnsi="Calibri"/>
          <w:b w:val="0"/>
          <w:color w:val="3A4A28"/>
          <w:sz w:val="17"/>
        </w:rPr>
        <w:t>FibroBiologics Corporate Website, Technology Platform, and Patent Portfolio — fibrobiologics.com, accessed September 2026</w:t>
      </w:r>
    </w:p>
    <w:p>
      <w:pPr>
        <w:spacing w:before="20" w:after="20"/>
        <w:ind w:left="170"/>
      </w:pPr>
      <w:r>
        <w:rPr>
          <w:rFonts w:ascii="Calibri" w:hAnsi="Calibri"/>
          <w:b/>
          <w:color w:val="4A6B25"/>
          <w:sz w:val="15"/>
        </w:rPr>
        <w:t xml:space="preserve">3. </w:t>
      </w:r>
      <w:r>
        <w:rPr>
          <w:rFonts w:ascii="Calibri" w:hAnsi="Calibri"/>
          <w:b w:val="0"/>
          <w:color w:val="3A4A28"/>
          <w:sz w:val="17"/>
        </w:rPr>
        <w:t>FibroBiologics Q2 2026 Financial Results — Net Loss ~$4.1M, Cash $3.5M, First Patient Dosed in CYWC628 Phase 1/2, $9M Private Placement + $3M Public Offering — StockTitan, August 2026</w:t>
      </w:r>
    </w:p>
    <w:p>
      <w:pPr>
        <w:spacing w:before="20" w:after="20"/>
        <w:ind w:left="170"/>
      </w:pPr>
      <w:r>
        <w:rPr>
          <w:rFonts w:ascii="Calibri" w:hAnsi="Calibri"/>
          <w:b/>
          <w:color w:val="4A6B25"/>
          <w:sz w:val="15"/>
        </w:rPr>
        <w:t xml:space="preserve">4. </w:t>
      </w:r>
      <w:r>
        <w:rPr>
          <w:rFonts w:ascii="Calibri" w:hAnsi="Calibri"/>
          <w:b w:val="0"/>
          <w:color w:val="3A4A28"/>
          <w:sz w:val="17"/>
        </w:rPr>
        <w:t>FibroBiologics Leadership Editorial — Fibroblast Cells' Therapeutic Advantages Over Traditional Stem Cell Therapies, GlobeNewsWire, September 2025; cGMP Manufacturing with Charles River, Q1 2026</w:t>
      </w:r>
    </w:p>
    <w:p>
      <w:pPr>
        <w:spacing w:before="20" w:after="20"/>
        <w:ind w:left="170"/>
      </w:pPr>
      <w:r>
        <w:rPr>
          <w:rFonts w:ascii="Calibri" w:hAnsi="Calibri"/>
          <w:b/>
          <w:color w:val="4A6B25"/>
          <w:sz w:val="15"/>
        </w:rPr>
        <w:t xml:space="preserve">5. </w:t>
      </w:r>
      <w:r>
        <w:rPr>
          <w:rFonts w:ascii="Calibri" w:hAnsi="Calibri"/>
          <w:b w:val="0"/>
          <w:color w:val="3A4A28"/>
          <w:sz w:val="17"/>
        </w:rPr>
        <w:t>StockAnalysis, Yahoo Finance — FBLG Key Statistics: Stock Price ~$0.65, Market Cap ~$4M, 2-Analyst Buy Consensus $13.50 Target,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