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FBRT</w:t>
      </w:r>
      <w:r>
        <w:rPr>
          <w:rFonts w:ascii="Calibri" w:hAnsi="Calibri"/>
          <w:b/>
          <w:color w:val="1A2010"/>
          <w:sz w:val="40"/>
        </w:rPr>
        <w:t xml:space="preserve">  Franklin BSP Realty Trust, Inc.</w:t>
      </w:r>
    </w:p>
    <w:p>
      <w:pPr>
        <w:spacing w:after="120"/>
      </w:pPr>
      <w:r>
        <w:rPr>
          <w:rFonts w:ascii="Calibri" w:hAnsi="Calibri"/>
          <w:b/>
          <w:color w:val="6E8450"/>
          <w:sz w:val="18"/>
        </w:rPr>
        <w:t>DIVIDEND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Mortgage REIT · NYSE · United States</w:t>
      </w:r>
    </w:p>
    <w:p>
      <w:pPr>
        <w:spacing w:after="80"/>
      </w:pPr>
      <w:r>
        <w:rPr>
          <w:rFonts w:ascii="Calibri" w:hAnsi="Calibri"/>
          <w:b w:val="0"/>
          <w:color w:val="3A4A28"/>
          <w:sz w:val="20"/>
        </w:rPr>
        <w:t>Franklin BSP Realty Trust, Inc. is an externally managed commercial real estate finance company that originates, acquires, and manages a diversified portfolio of commercial real estate debt investments, including first mortgage loans, mezzanine loans, and preferred equity. Externally managed by Benefit Street Partners, a credit-focused alternative asset management firm and subsidiary of Franklin Templeton. Headquartered in New York, New York.</w:t>
      </w:r>
    </w:p>
    <w:p>
      <w:r>
        <w:rPr>
          <w:rFonts w:ascii="Calibri" w:hAnsi="Calibri"/>
          <w:b/>
          <w:color w:val="6E8450"/>
          <w:sz w:val="18"/>
        </w:rPr>
        <w:t>252 Employees · https://fbrtreit.com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FBRT has made no meaningful product launches, market pivots, or business model transformations in the last five years — the company continues to originate commercial real estate transitional loans using the same external management structure it has employed since inception [1]. The February 2026 CEO transition from Richard Byrne to Michael Comparato was described as 'planned management succession designed to preserve strategic continuity,' explicitly reinforcing the status quo [4]. AI Deployment (0/2): No AI-powered products or AI-driven operational efficiencies reported. Commercial real estate underwriting remains a judgment-intensive human process at FBRT [1]. Market Share (0/2): FBRT manages approximately $6.5B in commercial real estate loans, placing it solidly in the mid-tier of commercial mortgage REITs — significantly smaller than leaders Blackstone Mortgage Trust ($24B+), Starwood Property Trust ($28B+), and KKR Real Estate Finance Trust [1]. Product Pipeline (0/2): No next-generation products or new strategies announced. R&amp;D Intensity (0/1): Not applicable — mortgage REITs do not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FBRT operates as a financial vehicle to generate returns from commercial real estate lending. As an externally managed REIT, the company's purpose is essentially to deploy capital and distribute income to shareholders — a generic financial objective with no articulated deeper purpose, vision, or mission statement that differentiates it from any other mortgage REIT [1]. Community Impact (0/2): No evidence of charitable programs, community investment, or distinctive social impact initiatives. Employee Retention (0/2): No Glassdoor data available specific to FBRT. The externally managed structure means investment professionals are employees of Benefit Street Partners/Franklin Templeton, not FBRT itself, making culture assessment difficult. Insider Buying (0/2): No evidence of meaningful net insider buying. The external management structure creates inherent misalignment — management fees are paid regardless of stock performance, and the securities fraud lawsuit alleges management misrepresented dividend sustainability to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Revenue grew 17.1% YoY to $65.3M in Q2 2026, and Forward P/E of 7.53 is deeply discounted [2]. Profit margin of 21.38% is healthy for a mortgage REIT. However, D/E of 270% is extremely elevated (near the 300% floor), reflecting the highly leveraged balance sheet typical of mortgage REITs. ROE of only 4.12% — poor for a leveraged REIT — and payout ratio of 252% indicate the dividend significantly exceeds net income [2]. The 44% dividend cut from $0.355 to $0.20 per quarter in February 2026 destroyed consecutive growth years (now 0) and triggered a securities fraud lawsuit alleging management misrepresented dividend sustainability [3]. Book value per share of $14.24 versus stock price of $7.91 implies a 44% discount to book, reflecting market skepticism about asset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Franklin BSP Realty Trust is a textbook finite game player. The externally managed REIT structure exists solely to generate returns for shareholders and management fees for Benefit Street Partners, with no articulated purpose beyond capital deployment. The securities fraud lawsuit alleging management misrepresented dividend sustainability — projecting $0.355 as 'long-term stabilized earnings potential' before cutting to $0.20 — epitomizes finite game behavior where short-term appearances were prioritized over honest long-term communication.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FBRT has no Just Cause. The company exists to originate commercial real estate loans, distribute income, and generate management fees for its external manager. There is no articulated vision of a better future, no mission beyond profit, and no purpose that would survive a fundamental change in the business environment [1]. Leadership communications focus exclusively on distributable earnings, dividend coverage, and book value — all finite, metric-driven objectives. Sinek would classify this as a company that has never even considered the question of 'why do we exist beyond making money.'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external management structure inherently limits trust — management's primary employer is Benefit Street Partners (Franklin Templeton), not FBRT shareholders. Management fees are earned regardless of stock performance, creating structural misalignment [1]. The securities fraud lawsuit further erodes any trust foundation, as shareholders allege they were misled about dividend sustainability [3]. No employee culture data is available for the 252-person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FBRT operates in a competitive commercial mortgage REIT market alongside much larger players (Blackstone, Starwood, KKR) but does not publicly reference competitors' strengths or frame competitive dynamics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FBRT has operated the same commercial real estate lending business model since inception with no meaningful strategic pivots. The February 2026 CEO transition was explicitly designed to 'preserve strategic continuity,' and the company continues to originate transitional CRE loans using the same external management platform [4]. No evidence of willingness to evolve the business model in response to changing market conditions.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demonstrated the opposite of courage by allegedly misrepresenting dividend sustainability. According to the securities fraud lawsuit, FBRT's earnings calls contained forward-looking statements about dividend sustainability, with management repeatedly stating the $0.355 quarterly payout 'accurately reflects our portfolio's long-term stabilized earnings potential' before ultimately cutting the dividend by 44% to $0.20 [3]. This prioritized maintaining the appearance of financial strength over honest communication with shareholders — a deeply finite behavior.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FBRT trades at a substantial 44% discount to book value ($7.91 vs $14.24 book value per share), with distributable earnings of $28.3M ($0.25 per diluted share) now covering the reduced $0.20 quarterly dividend at 1.25x, suggesting the dividend may be stabilized at the lower level [1]. Forward P/E of 7.53 is deeply discounted, and the 10.11% dividend yield is attractive for income seekers if the payout is sustainable. Revenue grew 17.1% YoY in Q2 2026, and adjusted book value increased sequentially to $14.74 from $14.58, indicating underlying portfolio recovery [1].</w:t>
      </w:r>
    </w:p>
    <w:p>
      <w:pPr>
        <w:spacing w:after="120"/>
      </w:pPr>
      <w:r>
        <w:rPr>
          <w:rFonts w:ascii="Calibri" w:hAnsi="Calibri"/>
          <w:b w:val="0"/>
          <w:color w:val="3A4A28"/>
          <w:sz w:val="20"/>
        </w:rPr>
        <w:t>The bear case is severe. The securities fraud class action lawsuit alleges management misrepresented dividend sustainability during the November 2024 to February 2026 period, projecting the $0.355 payout as reflecting 'long-term stabilized earnings potential' before delivering a 44% cut that triggered a 14.18% stock price collapse [3]. The 252% payout ratio on a GAAP basis and D/E of 270% reveal a highly leveraged, structurally fragile balance sheet where even modest credit deterioration could trigger further dividend cuts or capital raises [2]. The external management structure creates inherent misalignment — BSP/Franklin Templeton earns fees regardless of share price performance. With no innovation, no mission beyond profit generation, and an ongoing securities litigation, FBRT lacks the organizational qualities that would inspire long-term investor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Distributable earnings covering the $0.20 quarterly dividend at 1.25x could rebuild investor confidence in dividend sustainability, potentially narrowing the 44% discount to book value</w:t>
      </w:r>
    </w:p>
    <w:p>
      <w:pPr>
        <w:spacing w:before="40" w:after="40"/>
        <w:ind w:left="283"/>
      </w:pPr>
      <w:r>
        <w:rPr>
          <w:rFonts w:ascii="Calibri" w:hAnsi="Calibri"/>
          <w:b/>
          <w:color w:val="4A6B25"/>
          <w:sz w:val="20"/>
        </w:rPr>
        <w:t xml:space="preserve">2. </w:t>
      </w:r>
      <w:r>
        <w:rPr>
          <w:rFonts w:ascii="Calibri" w:hAnsi="Calibri"/>
          <w:b w:val="0"/>
          <w:color w:val="3A4A28"/>
          <w:sz w:val="20"/>
        </w:rPr>
        <w:t>Declining interest rates could improve CRE borrower performance, reduce portfolio credit losses, and expand net interest margins across FBRT's floating-rate loan portfolio</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securities fraud class action without material damages would remove an overhang and allow the stock to trade on fundamentals rather than litigation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management misrepresented dividend sustainability during November 2024 to February 2026 creates ongoing litigation liability and reputational damage</w:t>
      </w:r>
    </w:p>
    <w:p>
      <w:pPr>
        <w:spacing w:before="40" w:after="40"/>
        <w:ind w:left="283"/>
      </w:pPr>
      <w:r>
        <w:rPr>
          <w:rFonts w:ascii="Calibri" w:hAnsi="Calibri"/>
          <w:b/>
          <w:color w:val="4A6B25"/>
          <w:sz w:val="20"/>
        </w:rPr>
        <w:t xml:space="preserve">2. </w:t>
      </w:r>
      <w:r>
        <w:rPr>
          <w:rFonts w:ascii="Calibri" w:hAnsi="Calibri"/>
          <w:b w:val="0"/>
          <w:color w:val="3A4A28"/>
          <w:sz w:val="20"/>
        </w:rPr>
        <w:t>D/E ratio of 270% and payout ratio of 252% leave minimal margin for error — any deterioration in CRE credit quality could force further dividend cuts or dilutive equity raises</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with Benefit Street Partners creates structural misalignment between management compensation (fee-based) and shareholder returns (total return), limiting governance accountability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FBRT's core business — originating and managing commercial real estate transitional loans — involves complex deal structuring, borrower relationship management, property-specific underwriting judgment, and regulatory compliance that create meaningful barriers to AI displacement [1]. Commercial real estate lending requires human evaluation of construction risk, local market dynamics, sponsor track records, and property-level cash flow projections that remain difficult for AI to fully automate. However, AI-powered underwriting platforms, automated valuation models, and FinTech lending competitors are increasingly capable of handling standardized portions of the CRE lending process, creating moderate exposure in loan processing and credit assessment functions. AI Opportunity (0/1): No AI-related revenue or AI-powered products. FBRT has not disclosed any AI-driven operational improvements or technology platform advantages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Franklin BSP Realty Trust Q2 2026 Financial Results —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FBRT Statistics and Valuation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Securities Fraud Class Action Lawsuit — PRNewswire/GlobeNewsWire (Levi &amp; Korsinsky, SueWallSt), March 2026</w:t>
      </w:r>
    </w:p>
    <w:p>
      <w:pPr>
        <w:spacing w:before="20" w:after="20"/>
        <w:ind w:left="170"/>
      </w:pPr>
      <w:r>
        <w:rPr>
          <w:rFonts w:ascii="Calibri" w:hAnsi="Calibri"/>
          <w:b/>
          <w:color w:val="4A6B25"/>
          <w:sz w:val="15"/>
        </w:rPr>
        <w:t xml:space="preserve">4. </w:t>
      </w:r>
      <w:r>
        <w:rPr>
          <w:rFonts w:ascii="Calibri" w:hAnsi="Calibri"/>
          <w:b w:val="0"/>
          <w:color w:val="3A4A28"/>
          <w:sz w:val="17"/>
        </w:rPr>
        <w:t>Franklin BSP Realty Trust CEO Transition Announcement — Globe and Mail/Investing.com,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