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FMC</w:t>
      </w:r>
      <w:r>
        <w:rPr>
          <w:rFonts w:ascii="Calibri" w:hAnsi="Calibri"/>
          <w:b/>
          <w:color w:val="1A2010"/>
          <w:sz w:val="40"/>
        </w:rPr>
        <w:t xml:space="preserve">  FMC Corporation</w:t>
      </w:r>
    </w:p>
    <w:p>
      <w:pPr>
        <w:spacing w:after="120"/>
      </w:pPr>
      <w:r>
        <w:rPr>
          <w:rFonts w:ascii="Calibri" w:hAnsi="Calibri"/>
          <w:b/>
          <w:color w:val="6E8450"/>
          <w:sz w:val="18"/>
        </w:rPr>
        <w:t>DIVIDEND SLEEVE · 2026-08-28 · Inspire: 50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Materials · Specialty Chemicals / Agricultural Chemicals · NYSE · United States</w:t>
      </w:r>
    </w:p>
    <w:p>
      <w:pPr>
        <w:spacing w:after="80"/>
      </w:pPr>
      <w:r>
        <w:rPr>
          <w:rFonts w:ascii="Calibri" w:hAnsi="Calibri"/>
          <w:b w:val="0"/>
          <w:color w:val="3A4A28"/>
          <w:sz w:val="20"/>
        </w:rPr>
        <w:t>FMC Corporation is a global agricultural sciences company providing crop protection products including insecticides, herbicides, and fungicides, with a growing biologicals portfolio. Flagship insecticide Rynaxypyr faces patent expiration headwinds. In early 2026, FMC announced exploration of strategic options including a potential sale. Q2 2026 revenue was $867M (-17% YoY) with adjusted EPS of $0.26 (-62%). Full-year 2026 adjusted EBITDA guidance was lowered to $620-680M and adjusted EPS to $1.19-$1.49. Market cap approximately $1.7B.</w:t>
      </w:r>
    </w:p>
    <w:p>
      <w:r>
        <w:rPr>
          <w:rFonts w:ascii="Calibri" w:hAnsi="Calibri"/>
          <w:b/>
          <w:color w:val="6E8450"/>
          <w:sz w:val="18"/>
        </w:rPr>
        <w:t>5,500 Employees · https://www.fmc.com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FMC has launched new crop protection products and expanded its biologicals portfolio, but these have not offset the secular decline in its core business — revenue fell from ~$5.1B in 2021 to an expected $3.6-3.8B in 2026 [1]. The exit from India operations and ongoing pricing pressure from Chinese generic manufacturers demonstrate business contraction rather than expansion. AI Deployment (1/2): FMC collaborates with Cyclica to apply AI to molecule discovery, and FMC Ventures invests in agtech startups leveraging AI and machine learning for crop protection research [2]. CTO Dr. Seva Rostovtsev has optimized R&amp;D's use of data to improve research efficiency, but no specific AI-driven revenue or quantified cost savings have been reported. Market Share (1/2): FMC maintains meaningful share in specialty crop protection chemicals but is not a category leader — it competes against larger players Bayer, Syngenta, BASF, and Corteva [1]. Pipeline (1/2): Active pipeline of new active ingredients with specific launches planned; new products partially offset pricing headwinds, though pipeline visibility is limited by patent expiration challenges [1]. R&amp;D Intensity (1/1): R&amp;D spending supports a pipeline-driven business model with ongoing investment in discovery chemistry and biologicals at rates competitive with specialty chemical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FMC's mission focuses on providing innovative solutions to growers worldwide, enabling sustainable food production. The purpose is clear and connects to food security but is not distinctively articulated beyond standard agricultural industry framing [2]. Community Impact (1/2): FMC engages in corporate sustainability initiatives aligned with GRI, UN Global Compact, CDP, SASB, and TCFD frameworks since 2012-2020, but no specific philanthropic dollar amounts or distinctive community programs were identified [3]. Employee Retention (1/2): Dr. Pierre Brondeau's return as CEO in June 2024 — having previously led FMC from 2010-2020 — signals strong institutional ties. Glassdoor reviews indicate adequate employee satisfaction with some praise for senior leadership. However, ongoing restructuring and strategic review create uncertainty [2]. Insider Buying (0/2): No evidence of meaningful net insider buying identified; the company's exploration of strategic options including a sale suggests leadership focus is on exit rather than long-term conviction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on available metrics. FMC is in severe financial distress on GAAP trailing metrics: D/E of 194% reflects heavy leverage with $4.1B total debt against $2.1B equity [4]. ROE of -88.4% driven by GAAP net losses including large non-cash impairment charges [4]. Trailing GAAP profit margin of approximately -85% reflects these impairments on $3.25B TTM revenue [4]. Q2 2026 revenue declined 17% YoY to $867M, with full-year guidance cut to $3.60-3.80B — a 5% midpoint decline versus 2025 [1]. 5-year revenue CAGR of approximately -7% reflects the slide from $5.1B in 2021. The forward P/E of 5.87x on adjusted earnings is the sole valuation bright spot, suggesting the market prices in either a recovery or takeout [4]. Dividend payment history of approximately 30 consecutive years provides score contribution via the double-weighted metric, but the October 2025 dividend cut to $0.08/quarter ($0.32 annual) eliminates consecutive growth years and produces a 5-year dividend growth CAGR of -6.43%. Liquidity clears the floor at approximately $67M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FMC exhibits predominantly finite game characteristics. The exploration of strategic options including a potential sale of the company signals leadership focused on near-term exit rather than long-term cause advancement. The return of former CEO Brondeau to stabilize the business and pursue a transaction reflects operational pragmatism, not infinite thinking. The company's multi-year revenue decline from $5.1B to $3.7B, heavy restructuring, dividend cut, India exit, and lowered 2026 guidance suggest a business contracting toward survival rather than playing to keep playing.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FMC has a stated purpose around enabling sustainable food production through innovative crop protection, which connects to a broader social good [2]. However, the exploration of a full company sale in 2026 — essentially offering to dissolve the independent entity — fundamentally undermines the idea that leadership is animated by an enduring cause [1]. The mission reads as standard industry framing rather than a deeply held conviction that shapes strategic decisions.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indicate adequate but not exceptional employee experience [2]. CEO Brondeau's return provides some leadership continuity, and FMC's comprehensive ESG reporting frameworks demonstrate institutional professionalism [3]. However, the company has undergone significant restructuring, headcount reductions, and is exploring a sale — conditions that erode organizational trust and create anxiety about job security.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FMC's competitive positioning language focuses on product portfolio differentiation against Bayer, Syngenta, BASF, and Corteva. No evidence found of management framing competitors' strengths as learning opportunities or using competitive dynamics for self-improvement. The competitive language is about market positioning and product superiority — finite framing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FMC has not demonstrated transformative strategic flexibility. The company exited India operations and restructured, but these were defensive contractions rather than offensive reinventions [1]. The exploration of a sale suggests the company has run out of strategic options rather than choosing to pivot toward a new future. The October 2025 dividend cut was a survival measure, not a strategic reallocation of capital toward future capability.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Leadership's primary recent decisions — restructuring, India exit, cost-cutting, dividend cut, exploring a sale — are survival-oriented rather than courageous long-term bets [1]. Bringing back former CEO Brondeau to pursue strategic options reads as a pragmatic board decision rather than a visionary leadership move. Q2 2026 guidance was lowered on adjusted EBITDA and EPS, signaling reactive management rather than proactive long-term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FMC is a deeply distressed agricultural chemicals company trading at $13.35 per share — down 73% over the past year — with a forward P/E of 5.87x on adjusted earnings, suggesting the market prices in either a recovery or a takeout [1][4]. Q1 2026 revenue of $759M came in above guidance with adjusted EBITDA above the high end of the range. The exploration of strategic options including a sale could unlock value if a larger agrochemical player (Bayer, BASF, or a PE consortium) sees value in FMC's active ingredient portfolio, Rynaxypyr franchise, and biologicals pipeline. An Inspire Impact Score of 50 (ALIGNED) is favorable for faith-based investors willing to accept the turnaround risk.</w:t>
      </w:r>
    </w:p>
    <w:p>
      <w:pPr>
        <w:spacing w:after="120"/>
      </w:pPr>
      <w:r>
        <w:rPr>
          <w:rFonts w:ascii="Calibri" w:hAnsi="Calibri"/>
          <w:b w:val="0"/>
          <w:color w:val="3A4A28"/>
          <w:sz w:val="20"/>
        </w:rPr>
        <w:t>The bear case is severe and has deteriorated since Q1: Q2 2026 revenue dropped 17% YoY to $867M, full-year adjusted EBITDA guidance was cut to $620-680M (from $670-730M), and adjusted EPS guidance was lowered to $1.19-$1.49 [1]. GAAP losses of approximately -$2.76B on $3.25B TTM revenue reflect massive impairment charges, producing a D/E of 194% and ROE of -88% [4]. The 5-year revenue CAGR of -7% from $5.1B to $3.7B reflects structural decline as Rynaxypyr faces patent expiration and Chinese generic manufacturers flood global markets with low-cost alternatives. If no acquirer materializes from the strategic review, FMC faces continued operational decline, potential further dividend cuts from the already-reduced $0.32 annual level, and balance sheet deterioration that could threaten credit ratings and refinancing 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strategic review outcome — a sale or merger at a premium to the current depressed $13.35 stock price could deliver significant shareholder value from the distressed base [1]</w:t>
      </w:r>
    </w:p>
    <w:p>
      <w:pPr>
        <w:spacing w:before="40" w:after="40"/>
        <w:ind w:left="283"/>
      </w:pPr>
      <w:r>
        <w:rPr>
          <w:rFonts w:ascii="Calibri" w:hAnsi="Calibri"/>
          <w:b/>
          <w:color w:val="4A6B25"/>
          <w:sz w:val="20"/>
        </w:rPr>
        <w:t xml:space="preserve">2. </w:t>
      </w:r>
      <w:r>
        <w:rPr>
          <w:rFonts w:ascii="Calibri" w:hAnsi="Calibri"/>
          <w:b w:val="0"/>
          <w:color w:val="3A4A28"/>
          <w:sz w:val="20"/>
        </w:rPr>
        <w:t>Management expectation that 2026 represents an earnings trough, with sequential improvement in H2 followed by growth resumption in Q4 2026 and into 2027-2028 [1]</w:t>
      </w:r>
    </w:p>
    <w:p>
      <w:pPr>
        <w:spacing w:before="40" w:after="40"/>
        <w:ind w:left="283"/>
      </w:pPr>
      <w:r>
        <w:rPr>
          <w:rFonts w:ascii="Calibri" w:hAnsi="Calibri"/>
          <w:b/>
          <w:color w:val="4A6B25"/>
          <w:sz w:val="20"/>
        </w:rPr>
        <w:t xml:space="preserve">3. </w:t>
      </w:r>
      <w:r>
        <w:rPr>
          <w:rFonts w:ascii="Calibri" w:hAnsi="Calibri"/>
          <w:b w:val="0"/>
          <w:color w:val="3A4A28"/>
          <w:sz w:val="20"/>
        </w:rPr>
        <w:t>New product launches and biologicals portfolio expansion partially offsetting Rynaxypyr pricing pressure, potentially inflecting the revenue growth trajectory as new active ingredients gain regulatory approvals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Strategic review yields no acquirer or results in a lowball offer — the stock already prices in significant distress, and a failed sale process could trigger further declines toward the 52-week low [1]</w:t>
      </w:r>
    </w:p>
    <w:p>
      <w:pPr>
        <w:spacing w:before="40" w:after="40"/>
        <w:ind w:left="283"/>
      </w:pPr>
      <w:r>
        <w:rPr>
          <w:rFonts w:ascii="Calibri" w:hAnsi="Calibri"/>
          <w:b/>
          <w:color w:val="4A6B25"/>
          <w:sz w:val="20"/>
        </w:rPr>
        <w:t xml:space="preserve">2. </w:t>
      </w:r>
      <w:r>
        <w:rPr>
          <w:rFonts w:ascii="Calibri" w:hAnsi="Calibri"/>
          <w:b w:val="0"/>
          <w:color w:val="3A4A28"/>
          <w:sz w:val="20"/>
        </w:rPr>
        <w:t>D/E of 194% and negative GAAP profitability create refinancing risk as debt matures; any credit rating downgrade could accelerate capital structure deterioration and further constrain operating flexibility [4]</w:t>
      </w:r>
    </w:p>
    <w:p>
      <w:pPr>
        <w:spacing w:before="40" w:after="40"/>
        <w:ind w:left="283"/>
      </w:pPr>
      <w:r>
        <w:rPr>
          <w:rFonts w:ascii="Calibri" w:hAnsi="Calibri"/>
          <w:b/>
          <w:color w:val="4A6B25"/>
          <w:sz w:val="20"/>
        </w:rPr>
        <w:t xml:space="preserve">3. </w:t>
      </w:r>
      <w:r>
        <w:rPr>
          <w:rFonts w:ascii="Calibri" w:hAnsi="Calibri"/>
          <w:b w:val="0"/>
          <w:color w:val="3A4A28"/>
          <w:sz w:val="20"/>
        </w:rPr>
        <w:t>Secular pricing pressure in generic crop protection chemicals continues to compress margins as Chinese manufacturers flood global markets, with Q2 2026 revenue down 17% YoY signaling acceleration of the decline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FMC's core business — manufacturing and selling physical agricultural chemical products (insecticides, herbicides, fungicides) to farmers — is inherently protected from AI disruption [1]. The products require chemical synthesis, EPA/EU regulatory registration, and physical distribution networks that AI cannot replicate. Farming remains a physical-world activity where AI is an efficiency tool, not a substitute for crop protection chemistry. However, AI-driven precision agriculture could reduce the volume of chemicals applied per acre, creating modest demand compression over time. FMC's R&amp;D pipeline also faces AI-enabled competition as rivals use AI to accelerate molecule discovery, potentially narrowing FMC's discovery advantage [2]. AI Opportunity (1/1): FMC generates measurable value from AI through its collaboration with Cyclica on AI-augmented molecule discovery and FMC Ventures' investments in agtech AI startups. CTO Dr. Rostovtsev has improved R&amp;D efficiency through data-driven approaches, though this is cost reduction rather than direct AI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FMC Corporation Q1-Q2 2026 Earnings — Q1 Revenue $759M (-4% YoY), Q2 Revenue $867M (-17% YoY), Adjusted EBITDA Guidance Cut to $620-680M, EPS $1.19-$1.49, Strategic Review — FMC.com, PRNewswire, Investing.com, StockTitan, 2026</w:t>
      </w:r>
    </w:p>
    <w:p>
      <w:pPr>
        <w:spacing w:before="20" w:after="20"/>
        <w:ind w:left="170"/>
      </w:pPr>
      <w:r>
        <w:rPr>
          <w:rFonts w:ascii="Calibri" w:hAnsi="Calibri"/>
          <w:b/>
          <w:color w:val="4A6B25"/>
          <w:sz w:val="15"/>
        </w:rPr>
        <w:t xml:space="preserve">2. </w:t>
      </w:r>
      <w:r>
        <w:rPr>
          <w:rFonts w:ascii="Calibri" w:hAnsi="Calibri"/>
          <w:b w:val="0"/>
          <w:color w:val="3A4A28"/>
          <w:sz w:val="17"/>
        </w:rPr>
        <w:t>FMC Corporation Leadership, AI Innovation, CTO Dr. Rostovtsev — FMC IR, Glassdoor, FMC Ventures, Cyclica Partnership,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FMC Corporation ESG — Sustainalytics ESG Risk Score 33, GRI/SASB/TCFD/CDP Reporting Since 2012-2020 — Yahoo Finance, UL Solutions,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 FMC Key Statistics: Forward P/E 5.87x, D/E 194%, ROE -88.4%, Stock Price $13.35,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