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GBFH</w:t>
      </w:r>
      <w:r>
        <w:rPr>
          <w:rFonts w:ascii="Calibri" w:hAnsi="Calibri"/>
          <w:b/>
          <w:color w:val="1A2010"/>
          <w:sz w:val="40"/>
        </w:rPr>
        <w:t xml:space="preserve">  GBank Financial Holdings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NASDAQ · United States</w:t>
      </w:r>
    </w:p>
    <w:p>
      <w:pPr>
        <w:spacing w:after="80"/>
      </w:pPr>
      <w:r>
        <w:rPr>
          <w:rFonts w:ascii="Calibri" w:hAnsi="Calibri"/>
          <w:b w:val="0"/>
          <w:color w:val="3A4A28"/>
          <w:sz w:val="20"/>
        </w:rPr>
        <w:t>GBank Financial Holdings Inc. is a bank holding company for GBank (formerly Bank of George), operating payment and gaming financial technology business lines serving gaming clients across the United States. GBank is an SBA lender across 40 states with two full-service commercial branches in Las Vegas, Nevada. Total assets reached $1.4 billion as of Q2 2026. Founded in 2007 by Edward M. Nigro, headquartered in Las Vegas.</w:t>
      </w:r>
    </w:p>
    <w:p>
      <w:r>
        <w:rPr>
          <w:rFonts w:ascii="Calibri" w:hAnsi="Calibri"/>
          <w:b/>
          <w:color w:val="6E8450"/>
          <w:sz w:val="18"/>
        </w:rPr>
        <w:t>https://www.gbankfinancialholdings.com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GBank evolved from a single-branch Las Vegas community bank (Bank of George, founded 2006) to a $1.4B-asset financial holding company with gaming fintech and SBA lending across 40 states — a meaningful expansion of scope, though incremental rather than transformative [1][2]. AI Deployment (0/2): No evidence of AI-powered products shipping or quantified AI-driven savings. The AXES AI gaming payments agreement announced alongside Q2 2026 results is a partnership with an external platform, not internal AI deployment [1]. Market Share (0/2): GBank remains a small community bank ($1.4B assets) in a market dominated by institutions 100-1,000x its size; no category leadership or meaningful share data available [3]. Product Pipeline (1/2): The AXES AI gaming payments agreement positions GBank as the regulated financial infrastructure behind AXES' Intelligent Management System deployed across 2,200+ gaming locations in 30+ countries, though specific revenue timelines are undisclosed [1][4]. R&amp;D Intensity (0/1): No R&amp;D spend disclosed; banking institutions typically invest in technology through IT budgets rather than formal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GBank's public materials emphasize being a 'community bank' serving Las Vegas businesses and gaming clients, but no distinctive mission, purpose, or vision statement articulates why the organization exists beyond providing banking services — it is interchangeable with any regional bank's positioning [5]. Community Impact (1/2): GBank operates as an SBA lender across 40 states, providing small business financing that serves community economic development; the SBA lending platform represents genuine community investment, though no specific dollar amounts or charitable programs were identified [2]. Employee Retention (0/2): No employee retention data, headcount, or tenure information available from public sources [5]. Insider Buying (0/2): No insider buying data identified in search results; founder Edward Nigro likely holds significant equity but no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net revenue of $22.0M (up 23.5% YoY) with $5.5M net income; FY2025 revenue was $72.17M (up 20% YoY) with $20.93M earnings (up 12.3%) [1][3]. ROE of approximately 14% approaches the 15% target. Profit margin of ~29% well exceeds the 20% target, reflecting efficient community bank operations. Forward P/E estimated at ~16x based on accelerating earnings trajectory. D/E ratio of ~714% scores at floor (0.0) due to the rubric's sector-agnostic treatment — for context, this leverage is standard for a bank where deposits are classified as liabilities, and GBank's capital ratios are well above regulatory minimums [3]. Book value per share of $11.94 grew 3.1% sequentially and 12.3% YoY, demonstrating consistent equity compounding [1]. Revenue is forecast to grow 22% p.a. over the next 2 years, well above the 8.8% banking industry average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GBank Financial Holdings shows incremental evolution from community bank to gaming fintech but lacks the hallmarks of an infinite game player. Founder Edward Nigro's two-decade tenure provides leadership continuity, and the recent appointment of Jeff Newgard (who grew Bank of Idaho from $250M to $1.3B in assets) signals strategic ambition. However, the company has no articulated Just Cause beyond standard community banking, no evidence of courageous long-term bets, and the gaming fintech pivot — while smart — is an incremental adjacency rather than a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GBank positions itself as a community bank serving Las Vegas businesses and gaming clients, but this is a market positioning statement, not a Just Cause [5]. There is no evidence of a vision for a future state that transcends the company's current operations. The pivot into gaming fintech is commercially driven, not cause-driven. Nigro's founding of Bank of George in 2006 shows entrepreneurial conviction but not a purpose that would inspire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available to evaluate organizational trust. Employee count is undisclosed, no Glassdoor reviews were found, and no public commentary on workplace culture exists [5]. The leadership transition from founder Nigro to new CEO Newgard (June 2026) could be a positive signal of planned succession, but it is too early to assess its impact on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GBank frames its competitive relationships. As a small community bank competing against major financial institutions, the competitive dynamic is about survival and niche differentiation rather than learning from rivals [3]. No management commentary about competitor strengths or self-improvement through competitive pressure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GBank evolved from a single-branch Las Vegas community bank into a diversified financial holding company with gaming fintech, payment processing, and SBA lending across 40 states — a meaningful business model expansion [2]. The AXES AI gaming payments agreement represents continued strategic adaptation. However, these changes were incremental extensions of the banking franchise, not transformative pivots that abandoned a core business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Bringing in Jeff Newgard as CEO (June 2026) after Nigro's two-decade founding tenure shows strategic maturity — choosing institutional capability over founder control. Newgard's track record of growing Bank of Idaho from $250M to $1.3B provides a credible growth playbook [2]. The expansion into gaming fintech from traditional community banking also required conviction. However, no evidence of sacrificing near-term profitability for long-term capability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GBank Financial Holdings delivered record Q2 2026 results with $22.0M net revenue (up 23.5% YoY) and $5.5M net income, accelerating from a weaker Q1 ($1.32M net income) and signaling strong momentum [1]. FY2025 revenue grew 20% to $72.17M with $20.93M in earnings (up 12.3%), and analysts forecast 22% annual revenue growth over the next two years — nearly 3x the banking industry average [3]. The AXES AI gaming payments agreement opens a fintech distribution channel across 2,200+ gaming locations in 30+ countries, potentially transforming GBank from a regional community bank into a specialized gaming payments infrastructure provider [4]. At ~18x trailing earnings and 1.8x book value ($313M market cap vs. $172M book equity), the stock is reasonably valued for a bank growing at 20%+.</w:t>
      </w:r>
    </w:p>
    <w:p>
      <w:pPr>
        <w:spacing w:after="120"/>
      </w:pPr>
      <w:r>
        <w:rPr>
          <w:rFonts w:ascii="Calibri" w:hAnsi="Calibri"/>
          <w:b w:val="0"/>
          <w:color w:val="3A4A28"/>
          <w:sz w:val="20"/>
        </w:rPr>
        <w:t>The primary risk is the opacity and concentration inherent in a small community bank. Q1 2026 net income of just $1.32M (down 71% YoY) revealed significant earnings volatility despite the strong Q2 recovery, suggesting the income stream is lumpy and potentially dependent on a small number of large transactions [1]. With only two physical branches and $1.4B in assets, GBank is a nano-cap bank vulnerable to credit concentration, key-man risk around founder Nigro, and the execution risk of a CEO transition to Newgard (effective June 2026) [2]. The D/E ratio of ~714% — while standard for banking — means the balance sheet has no margin for credit losses beyond what is provisioned. The gaming fintech strategy is promising but unproven at scale, and GBank competes against far larger institutions with deeper technology budgets.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AXES AI gaming payments infrastructure rollout across 2,200+ gaming locations in 30+ countries, potentially generating material fee-based revenue from payment processing and compliance services</w:t>
      </w:r>
    </w:p>
    <w:p>
      <w:pPr>
        <w:spacing w:before="40" w:after="40"/>
        <w:ind w:left="283"/>
      </w:pPr>
      <w:r>
        <w:rPr>
          <w:rFonts w:ascii="Calibri" w:hAnsi="Calibri"/>
          <w:b/>
          <w:color w:val="4A6B25"/>
          <w:sz w:val="20"/>
        </w:rPr>
        <w:t xml:space="preserve">2. </w:t>
      </w:r>
      <w:r>
        <w:rPr>
          <w:rFonts w:ascii="Calibri" w:hAnsi="Calibri"/>
          <w:b w:val="0"/>
          <w:color w:val="3A4A28"/>
          <w:sz w:val="20"/>
        </w:rPr>
        <w:t>CEO Jeff Newgard applying the Bank of Idaho growth playbook ($250M to $1.3B) to GBank's $1.4B asset base, targeting continued 20%+ revenue growth</w:t>
      </w:r>
    </w:p>
    <w:p>
      <w:pPr>
        <w:spacing w:before="40" w:after="40"/>
        <w:ind w:left="283"/>
      </w:pPr>
      <w:r>
        <w:rPr>
          <w:rFonts w:ascii="Calibri" w:hAnsi="Calibri"/>
          <w:b/>
          <w:color w:val="4A6B25"/>
          <w:sz w:val="20"/>
        </w:rPr>
        <w:t xml:space="preserve">3. </w:t>
      </w:r>
      <w:r>
        <w:rPr>
          <w:rFonts w:ascii="Calibri" w:hAnsi="Calibri"/>
          <w:b w:val="0"/>
          <w:color w:val="3A4A28"/>
          <w:sz w:val="20"/>
        </w:rPr>
        <w:t>SBA lending expansion beyond current 40-state footprint and increasing commercial banking penetration in the Las Vegas gaming corridor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Significant earnings volatility — Q1 2026 net income collapsed 71% YoY to $1.32M before recovering to $5.5M in Q2, revealing inconsistent profitability that undermines valuation predictability</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founder Edward Nigro steps back from day-to-day management and Jeff Newgard (effective June 2026) takes operational control of a company whose culture and client relationships were built around Nigro</w:t>
      </w:r>
    </w:p>
    <w:p>
      <w:pPr>
        <w:spacing w:before="40" w:after="40"/>
        <w:ind w:left="283"/>
      </w:pPr>
      <w:r>
        <w:rPr>
          <w:rFonts w:ascii="Calibri" w:hAnsi="Calibri"/>
          <w:b/>
          <w:color w:val="4A6B25"/>
          <w:sz w:val="20"/>
        </w:rPr>
        <w:t xml:space="preserve">3. </w:t>
      </w:r>
      <w:r>
        <w:rPr>
          <w:rFonts w:ascii="Calibri" w:hAnsi="Calibri"/>
          <w:b w:val="0"/>
          <w:color w:val="3A4A28"/>
          <w:sz w:val="20"/>
        </w:rPr>
        <w:t>Nano-cap bank with limited analyst coverage, low trading liquidity, and high credit concentration risk — a single large loan default could materially impair earnings and capital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GBank's core community banking model — SBA lending, commercial banking, and gaming client relationships — is protected by banking regulation, compliance requirements, FDIC insurance, and relationship-based client service that AI cannot easily substitute [2]. Gaming payments require specific regulatory licenses and compliance infrastructure that create barriers. However, AI-powered fintech platforms are automating lending decisions, customer onboarding, and compliance monitoring, enabling larger institutions to serve markets traditionally dominated by community banks. GBank's small scale ($1.4B assets) makes it more vulnerable to AI-driven competitive pressure from well-capitalized digital banks than a systemically important institution [3]. AI Opportunity (0/1): No quantified AI revenue. The AXES AI gaming payments agreement positions GBank adjacent to AI-powered gaming management, but GBank itself does not generate AI-derived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GBank Financial Holdings Q2 2026 Earnings Release — GlobeNewsWire, July 29, 2026</w:t>
      </w:r>
    </w:p>
    <w:p>
      <w:pPr>
        <w:spacing w:before="20" w:after="20"/>
        <w:ind w:left="170"/>
      </w:pPr>
      <w:r>
        <w:rPr>
          <w:rFonts w:ascii="Calibri" w:hAnsi="Calibri"/>
          <w:b/>
          <w:color w:val="4A6B25"/>
          <w:sz w:val="15"/>
        </w:rPr>
        <w:t xml:space="preserve">2. </w:t>
      </w:r>
      <w:r>
        <w:rPr>
          <w:rFonts w:ascii="Calibri" w:hAnsi="Calibri"/>
          <w:b w:val="0"/>
          <w:color w:val="3A4A28"/>
          <w:sz w:val="17"/>
        </w:rPr>
        <w:t>GBank Financial Holdings — CEO Appointment and Leadership Team, StockTitan / SEC 8-K, June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StockAnalysis — GBFH Financial Overview and Forecasts,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AXES.ai and Bankroll Strategic Partnership Press Release — PR Newswire, July 2026</w:t>
      </w:r>
    </w:p>
    <w:p>
      <w:pPr>
        <w:spacing w:before="20" w:after="20"/>
        <w:ind w:left="170"/>
      </w:pPr>
      <w:r>
        <w:rPr>
          <w:rFonts w:ascii="Calibri" w:hAnsi="Calibri"/>
          <w:b/>
          <w:color w:val="4A6B25"/>
          <w:sz w:val="15"/>
        </w:rPr>
        <w:t xml:space="preserve">5. </w:t>
      </w:r>
      <w:r>
        <w:rPr>
          <w:rFonts w:ascii="Calibri" w:hAnsi="Calibri"/>
          <w:b w:val="0"/>
          <w:color w:val="3A4A28"/>
          <w:sz w:val="17"/>
        </w:rPr>
        <w:t>GBank Financial Holdings Corporate Website — gbankfinancialholdings.com,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