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HST</w:t>
      </w:r>
      <w:r>
        <w:rPr>
          <w:rFonts w:ascii="Calibri" w:hAnsi="Calibri"/>
          <w:b/>
          <w:color w:val="1A2010"/>
          <w:sz w:val="40"/>
        </w:rPr>
        <w:t xml:space="preserve">  Host Hotels &amp; Resorts, Inc.</w:t>
      </w:r>
    </w:p>
    <w:p>
      <w:pPr>
        <w:spacing w:after="120"/>
      </w:pPr>
      <w:r>
        <w:rPr>
          <w:rFonts w:ascii="Calibri" w:hAnsi="Calibri"/>
          <w:b/>
          <w:color w:val="6E8450"/>
          <w:sz w:val="18"/>
        </w:rPr>
        <w:t>DIVIDEND SLEEVE · 2026-08-17 · Inspire: 61 · MIXED</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E3F2FD" w:val="clear"/>
          </w:tcPr>
          <w:p>
            <w:pPr>
              <w:spacing w:before="40" w:after="40"/>
              <w:jc w:val="center"/>
            </w:pPr>
            <w:r>
              <w:rPr>
                <w:rFonts w:ascii="Calibri" w:hAnsi="Calibri"/>
                <w:b/>
                <w:color w:val="2563EB"/>
                <w:sz w:val="20"/>
              </w:rPr>
              <w:t>WATCH</w:t>
            </w:r>
          </w:p>
        </w:tc>
      </w:tr>
    </w:tbl>
    <w:p>
      <w:pPr>
        <w:spacing w:before="120" w:after="200"/>
      </w:pPr>
      <w:r>
        <w:rPr>
          <w:rFonts w:ascii="Calibri" w:hAnsi="Calibri"/>
          <w:b/>
          <w:color w:val="1A2010"/>
          <w:sz w:val="80"/>
        </w:rPr>
        <w:t>56</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Real Estate · REIT - Hotel &amp; Motel · NASDAQ · United States</w:t>
      </w:r>
    </w:p>
    <w:p>
      <w:pPr>
        <w:spacing w:after="80"/>
      </w:pPr>
      <w:r>
        <w:rPr>
          <w:rFonts w:ascii="Calibri" w:hAnsi="Calibri"/>
          <w:b w:val="0"/>
          <w:color w:val="3A4A28"/>
          <w:sz w:val="20"/>
        </w:rPr>
        <w:t>Host Hotels &amp; Resorts is an S&amp;P 500 company and the largest investment-grade lodging REIT, owning 75 luxury and upper-upscale hotel properties totaling approximately 42,500 rooms across brands including Marriott, Hyatt, Hilton, Fairmont, and 1 Hotels. Q2 2026 revenue reached $1.64B (+3.4% YoY) with comparable hotel RevPAR up 7.0% to $251.53 and adjusted FFO of $0.63/share (+8.6%). Full-year 2026 guidance was raised to 4.75-5.25% RevPAR growth with adjusted EBITDAre of $1.82-1.84B. Founded in 1927, headquartered in Bethesda, Maryland.</w:t>
      </w:r>
    </w:p>
    <w:p>
      <w:r>
        <w:rPr>
          <w:rFonts w:ascii="Calibri" w:hAnsi="Calibri"/>
          <w:b/>
          <w:color w:val="6E8450"/>
          <w:sz w:val="18"/>
        </w:rPr>
        <w:t>162 Employees · https://www.hosthotels.com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Track Record (2/3): Host raised full-year 2026 guidance after Q2, now projecting 4.75-5.25% comparable hotel RevPAR growth (up from 3.0-4.5% initial guidance), with comparable hotel EBITDA margins expanding 40-50bps to 29.6-29.7% [1]. Q2 2026 RevPAR of $251.53 (+7.0% YoY) outperformed upper-tier industry benchmarks by ~200bps. Portfolio transformation continues with prior $1.1B in asset sales at 11.0% IRR and $550-630M planned 2026 capex including $250-285M in ROI projects [1]. AI Deployment (0/2): As a REIT that owns but does not operate hotels, Host relies on Marriott, Hyatt, and Hilton for technology deployment. No AI products or quantifiable AI-driven savings are reported at the owner level [2]. Market Share (2/2): Host is the only lodging REIT in the S&amp;P 500 and the largest investment-grade lodging REIT with $15.7B market cap [1]. The company is the largest third-party owner of Marriott and Hyatt hotels, providing unrivaled data access, negotiating leverage, and business intelligence across the luxury lodging sector. Product Pipeline (1/2): ROI project pipeline of $250-285M for 2026 includes property renovations and repositioning. Raised 2026 guidance implies positive operational momentum, and condo development at select properties adds alternative revenue [1]. R&amp;D Intensity (1/1): Total 2026 capex of $550-630M (~9% of revenue) significantly exceeds typical REIT maintenance capex, reflecting proactive property enhancement, repositioning, and development investment [1].</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(1/4): Host's stated goal is to 'generate superior long-term, risk-adjusted returns for stockholders' through acquiring, selling, renovating, and developing luxury hotels [3]. This is an explicitly financial mission — Sinek would call it an outcome, not a purpose. It is interchangeable with any capital-allocating REIT and does not articulate why the company exists beyond making money. Community Impact (1/2): Host was the first lodging REIT to sign AHLA's 5-Star Promise supporting safety and human rights in hospitality, and joined the CEO Action for Diversity &amp; Inclusion initiative [3]. The company maintains an industry-recognized corporate responsibility program with ESG performance tracking. However, no specific dollar amounts for charitable giving or distinctive community investment programs were identified. Employee Retention (1/2): With 162 corporate employees, Host operates as a lean, specialized team. The 'Rising Stars' program identifies high-potential employees for leadership development, and NAREIT recognized Host for its succession planning approach [3]. The small team size inherently fosters closer working relationships, but no specific retention metrics or tenure data are available. Insider Buying (0/2): Net insider selling was observed in the prior period, with executive Michael Lentz selling ~35,000 shares (~15% of direct holdings) [3]. No evidence of meaningful net insider buying by current executives.</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16A34A"/>
          <w:sz w:val="16"/>
        </w:rPr>
        <w:t xml:space="preserve"> STRONG </w:t>
      </w:r>
    </w:p>
    <w:p>
      <w:pPr>
        <w:spacing w:before="0" w:after="40"/>
      </w:pPr>
      <w:r>
        <w:rPr>
          <w:rFonts w:ascii="Calibri" w:hAnsi="Calibri"/>
          <w:b/>
          <w:color w:val="16A34A"/>
          <w:sz w:val="28"/>
        </w:rPr>
        <w:t>8</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4409"/>
            <w:shd w:fill="16A34A" w:val="clear"/>
          </w:tcPr>
          <w:p>
            <w:pPr>
              <w:spacing w:before="0" w:after="0"/>
            </w:pPr>
            <w:r>
              <w:rPr>
                <w:rFonts w:ascii="Calibri" w:hAnsi="Calibri"/>
                <w:b w:val="0"/>
                <w:color w:val="1A2010"/>
                <w:sz w:val="4"/>
              </w:rPr>
            </w:r>
          </w:p>
        </w:tc>
        <w:tc>
          <w:tcPr>
            <w:tcW w:type="dxa" w:w="1102"/>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Mechanically scored as a dividend stock. D/E of 85% scores 0.935 (target &lt;=70%, floor 300%). ROE of 15.56% scores 1.0 (target &gt;=15%). Revenue Growth YoY of 3.5% scores 0.783 (target &gt;=10%). Revenue Growth 5yr CAGR of ~2.0% (normalized pre-pandemic to current) scores 0.467 (target &gt;=10%). Forward P/E of 22.95 scores 0.926 (target &lt;=20). Profit Margin of 16.47% scores 0.824 (target &gt;=20%) [4]. Dividend metrics: Payout Ratio of 54% (regular dividend only) scores 0.767 (1x weight). Consecutive Years Paid of 5 (since 2021 reinstatement) scores 0.5 (2x weight). Consecutive Years Growth of 4 scores 0.4 (1x weight). 5yr Dividend Growth CAGR of ~20% scores 1.0 (2x weight) [4]. Weighted sum: 9.10 / max 12 = 0.758, Infrastructure = 8/10. Liquidity: 9.66M avg volume x $22.57 = $218M, well above $1M floor. Balance sheet: $1.95B cash, $5.1B total debt, $3.6B total liquidity, no 2026 debt maturities [1].</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B8860B"/>
          <w:sz w:val="22"/>
        </w:rPr>
        <w:t>MIXED</w:t>
      </w:r>
      <w:r>
        <w:rPr>
          <w:rFonts w:ascii="Calibri" w:hAnsi="Calibri"/>
          <w:b w:val="0"/>
          <w:color w:val="6E8450"/>
          <w:sz w:val="22"/>
        </w:rPr>
        <w:t xml:space="preserve">      Overall: </w:t>
      </w:r>
      <w:r>
        <w:rPr>
          <w:rFonts w:ascii="Calibri" w:hAnsi="Calibri"/>
          <w:b/>
          <w:color w:val="B8860B"/>
          <w:sz w:val="28"/>
        </w:rPr>
        <w:t>5</w:t>
      </w:r>
      <w:r>
        <w:rPr>
          <w:rFonts w:ascii="Calibri" w:hAnsi="Calibri"/>
          <w:b w:val="0"/>
          <w:color w:val="9DAF88"/>
          <w:sz w:val="18"/>
        </w:rPr>
        <w:t xml:space="preserve"> /10</w:t>
      </w:r>
    </w:p>
    <w:p>
      <w:pPr>
        <w:spacing w:after="120"/>
      </w:pPr>
      <w:r>
        <w:rPr>
          <w:rFonts w:ascii="Calibri" w:hAnsi="Calibri"/>
          <w:b w:val="0"/>
          <w:color w:val="3A4A28"/>
          <w:sz w:val="18"/>
        </w:rPr>
        <w:t>Host Hotels demonstrates mixed infinite game characteristics. The company's 99-year history (founded 1927) and focus on premium properties reflect long-term investment thinking, and active portfolio management with $859M returned to shareholders in 2025 shows sound stewardship. However, the REIT model's mandatory distribution requirement limits strategic flexibility, and the explicitly shareholder-return-focused mission — 'generate superior long-term returns for stockholders' — lacks the deeper purpose Sinek values. The company plays to keep compounding capital, not to advance a cause.</w:t>
      </w:r>
    </w:p>
    <w:p>
      <w:pPr>
        <w:spacing w:before="200" w:after="40"/>
      </w:pPr>
      <w:r>
        <w:rPr>
          <w:rFonts w:ascii="Calibri" w:hAnsi="Calibri"/>
          <w:b/>
          <w:color w:val="1A2010"/>
          <w:sz w:val="22"/>
        </w:rPr>
        <w:t>Just Cause</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Just Cause (1/3): Host's stated goal of generating 'superior long-term, risk-adjusted returns for stockholders' is explicitly a financial objective, not a Just Cause [3]. While luxury hospitality serves the human need for travel and experience, Host does not articulate this as its purpose — the mission is about capital allocation returns, not about creating a future worth building toward. The 99-year operating history demonstrates remarkable institutional persistence, but Sinek would note that shareholder returns are an outcome, not a cause that inspires sacrifice.</w:t>
      </w:r>
    </w:p>
    <w:p>
      <w:pPr>
        <w:spacing w:before="200" w:after="40"/>
      </w:pPr>
      <w:r>
        <w:rPr>
          <w:rFonts w:ascii="Calibri" w:hAnsi="Calibri"/>
          <w:b/>
          <w:color w:val="1A2010"/>
          <w:sz w:val="22"/>
        </w:rPr>
        <w:t>Trusting Teams</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Trusting Teams (1/2): With 162 corporate employees, Host operates as a specialized, high-competence team of real estate and finance professionals [3]. The 'Rising Stars' leadership development program and NAREIT-recognized talent strategy indicate meaningful investment in people. The lean organizational structure and long-tenured leadership team suggest a high-trust environment among corporate staff. However, the 42,500 hotel rooms are staffed by operator employees over whom Host has limited cultural influence, creating a structural gap in organizational trust.</w:t>
      </w:r>
    </w:p>
    <w:p>
      <w:pPr>
        <w:spacing w:before="200" w:after="40"/>
      </w:pPr>
      <w:r>
        <w:rPr>
          <w:rFonts w:ascii="Calibri" w:hAnsi="Calibri"/>
          <w:b/>
          <w:color w:val="1A2010"/>
          <w:sz w:val="22"/>
        </w:rPr>
        <w:t>Worthy Rivals</w:t>
      </w:r>
    </w:p>
    <w:p>
      <w:pPr>
        <w:spacing w:before="0" w:after="40"/>
      </w:pPr>
      <w:r>
        <w:rPr>
          <w:rFonts w:ascii="Calibri" w:hAnsi="Calibri"/>
          <w:b/>
          <w:color w:val="16A34A"/>
          <w:sz w:val="28"/>
        </w:rPr>
        <w:t>10</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12"/>
            <w:shd w:fill="16A34A" w:val="clear"/>
          </w:tcPr>
          <w:p>
            <w:pPr>
              <w:spacing w:before="0" w:after="0"/>
            </w:pPr>
            <w:r>
              <w:rPr>
                <w:rFonts w:ascii="Calibri" w:hAnsi="Calibri"/>
                <w:b w:val="0"/>
                <w:color w:val="1A2010"/>
                <w:sz w:val="4"/>
              </w:rPr>
            </w:r>
          </w:p>
        </w:tc>
        <w:tc>
          <w:tcPr>
            <w:tcW w:type="dxa" w:w="0"/>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Worthy Rivals (1/1): Host frames its competitive positioning around outperforming industry benchmarks — RevPAR growth of 7.0% exceeded upper-tier industry by ~200bps — rather than defeating specific competitors [1]. Management uses competitive dynamics as motivation for portfolio improvement, referencing asset quality metrics and operational efficiency relative to peers. The company competes through property quality and capital allocation discipline, not through market share warfare.</w:t>
      </w:r>
    </w:p>
    <w:p>
      <w:pPr>
        <w:spacing w:before="200" w:after="40"/>
      </w:pPr>
      <w:r>
        <w:rPr>
          <w:rFonts w:ascii="Calibri" w:hAnsi="Calibri"/>
          <w:b/>
          <w:color w:val="1A2010"/>
          <w:sz w:val="22"/>
        </w:rPr>
        <w:t>Existential Flexibility</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Existential Flexibility (1/2): Host has evolved from a diversified hospitality company to a focused luxury/upper-upscale REIT through decades of active portfolio reshaping [1]. The $1.1B in asset sales at premium IRRs and continuous redeployment into higher-quality properties demonstrate adaptive capital allocation. Post-pandemic, the company successfully pivoted toward resort properties that outperformed urban assets. However, the REIT structure and luxury hotel focus inherently limit the range of strategic pivots available — Host cannot fundamentally reinvent what it is.</w:t>
      </w:r>
    </w:p>
    <w:p>
      <w:pPr>
        <w:spacing w:before="200" w:after="40"/>
      </w:pPr>
      <w:r>
        <w:rPr>
          <w:rFonts w:ascii="Calibri" w:hAnsi="Calibri"/>
          <w:b/>
          <w:color w:val="1A2010"/>
          <w:sz w:val="22"/>
        </w:rPr>
        <w:t>Courage To Lead</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Courage to Lead (1/2): Returning $859M to shareholders in 2025 while investing $644M in property improvements, plus a $0.72 special dividend in 2026 from the Four Seasons gain, demonstrates confidence in the lodging cycle [1]. Selling assets at premium valuations and reinvesting in ROI projects during an uncertain macro environment requires conviction. However, these decisions follow a well-established REIT capital recycling playbook and represent sound capital allocation discipline more than courageous leadership in Sinek's sense.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Host Hotels at $22.57 offers the largest investment-grade lodging REIT with a 3.54% regular dividend yield plus special dividends (total ~5.8% in 2026 including the $0.72 Four Seasons distribution) and accelerating operational momentum [1]. Q2 2026 delivered RevPAR growth of 7.0% to $251.53 with comparable hotel EBITDA margins expanding 60bps to 31.9%, driving adjusted FFO of $0.63/share (+8.6% YoY). Full-year 2026 guidance was raised meaningfully: RevPAR growth now 4.75-5.25% (from 3.0-4.5%), net income $944-962M, and adjusted EBITDAre $1.82-1.84B [1]. The balance sheet is solid with $1.95B cash, $3.6B total liquidity, and no 2026 debt maturities. At ~10.4x 2026E adjusted FFO ($2.17 midpoint), the valuation is reasonable for a luxury REIT outperforming industry benchmarks by 200bps with a favorable Inspire Impact Score of 61 (ALIGNED) [4].</w:t>
      </w:r>
    </w:p>
    <w:p>
      <w:pPr>
        <w:spacing w:after="120"/>
      </w:pPr>
      <w:r>
        <w:rPr>
          <w:rFonts w:ascii="Calibri" w:hAnsi="Calibri"/>
          <w:b w:val="0"/>
          <w:color w:val="3A4A28"/>
          <w:sz w:val="20"/>
        </w:rPr>
        <w:t>The bear case centers on cyclical lodging risk and modest structural growth. Forward P/E of 22.95 is elevated for a cyclical REIT with only 3.5% revenue growth YoY and a pre-pandemic-to-current 5yr revenue CAGR of just 2.0% — barely above inflation [4]. The stock fell 6.96% on Q2 earnings despite the guidance raise, suggesting the market sees limited upside from current levels. Wage inflation in hospitality operations directly pressures hotel margins, and Host has limited ability to influence labor costs managed by third-party operators. Economic recession would disproportionately impact luxury travel demand, potentially causing 10-20% RevPAR declines similar to the COVID experience that forced dividend suspension in 2020-2021. The consecutive dividend payment streak is only 5 years since reinstatement, and net insider selling signals limited management conviction at current prices [3]. Group business growth of 3.5% partially offset by transient room night declines of -0.7% in Q2 suggests consumer travel demand may be softening [1]. AI-powered travel booking intermediaries could increase margin pressure on hotel brands, indirectly affecting Host's operator economics [2].</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Raised 2026 RevPAR guidance to 4.75-5.25% growth with continued 200bp+ outperformance of upper-tier industry benchmarks, validating the premium luxury portfolio strategy and signaling sustainable operational momentum [1]</w:t>
      </w:r>
    </w:p>
    <w:p>
      <w:pPr>
        <w:spacing w:before="40" w:after="40"/>
        <w:ind w:left="283"/>
      </w:pPr>
      <w:r>
        <w:rPr>
          <w:rFonts w:ascii="Calibri" w:hAnsi="Calibri"/>
          <w:b/>
          <w:color w:val="4A6B25"/>
          <w:sz w:val="20"/>
        </w:rPr>
        <w:t xml:space="preserve">2. </w:t>
      </w:r>
      <w:r>
        <w:rPr>
          <w:rFonts w:ascii="Calibri" w:hAnsi="Calibri"/>
          <w:b w:val="0"/>
          <w:color w:val="3A4A28"/>
          <w:sz w:val="20"/>
        </w:rPr>
        <w:t>Total shareholder yield of ~5.8% in 2026 including $0.80 regular dividend plus $0.72 special dividend from Four Seasons gain, with potential for further special distributions from continued capital recycling at premium IRRs [1]</w:t>
      </w:r>
    </w:p>
    <w:p>
      <w:pPr>
        <w:spacing w:before="40" w:after="40"/>
        <w:ind w:left="283"/>
      </w:pPr>
      <w:r>
        <w:rPr>
          <w:rFonts w:ascii="Calibri" w:hAnsi="Calibri"/>
          <w:b/>
          <w:color w:val="4A6B25"/>
          <w:sz w:val="20"/>
        </w:rPr>
        <w:t xml:space="preserve">3. </w:t>
      </w:r>
      <w:r>
        <w:rPr>
          <w:rFonts w:ascii="Calibri" w:hAnsi="Calibri"/>
          <w:b w:val="0"/>
          <w:color w:val="3A4A28"/>
          <w:sz w:val="20"/>
        </w:rPr>
        <w:t>Balance sheet strength with $3.6B total liquidity, no 2026 debt maturities, and ROI project pipeline of $250-285M enabling opportunistic acquisitions or property repositioning during potential market dislocations [1]</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Cyclical exposure to luxury travel demand — economic recession or corporate budget cuts would disproportionately impact upper-upscale hotels, and the 2020-2021 COVID dividend suspension demonstrates the fragility of REIT income during downturns [1]</w:t>
      </w:r>
    </w:p>
    <w:p>
      <w:pPr>
        <w:spacing w:before="40" w:after="40"/>
        <w:ind w:left="283"/>
      </w:pPr>
      <w:r>
        <w:rPr>
          <w:rFonts w:ascii="Calibri" w:hAnsi="Calibri"/>
          <w:b/>
          <w:color w:val="4A6B25"/>
          <w:sz w:val="20"/>
        </w:rPr>
        <w:t xml:space="preserve">2. </w:t>
      </w:r>
      <w:r>
        <w:rPr>
          <w:rFonts w:ascii="Calibri" w:hAnsi="Calibri"/>
          <w:b w:val="0"/>
          <w:color w:val="3A4A28"/>
          <w:sz w:val="20"/>
        </w:rPr>
        <w:t>Structural revenue growth of only ~2% CAGR (pre-pandemic to current) with 3.5% YoY growth barely above inflation, limiting organic value creation potential and relying on asset-level capital recycling for returns [4]</w:t>
      </w:r>
    </w:p>
    <w:p>
      <w:pPr>
        <w:spacing w:before="40" w:after="40"/>
        <w:ind w:left="283"/>
      </w:pPr>
      <w:r>
        <w:rPr>
          <w:rFonts w:ascii="Calibri" w:hAnsi="Calibri"/>
          <w:b/>
          <w:color w:val="4A6B25"/>
          <w:sz w:val="20"/>
        </w:rPr>
        <w:t xml:space="preserve">3. </w:t>
      </w:r>
      <w:r>
        <w:rPr>
          <w:rFonts w:ascii="Calibri" w:hAnsi="Calibri"/>
          <w:b w:val="0"/>
          <w:color w:val="3A4A28"/>
          <w:sz w:val="20"/>
        </w:rPr>
        <w:t>Emerging AI-powered travel booking intermediaries could disrupt hotel distribution economics, potentially increasing customer acquisition costs and compressing operator margins that flow through to Host's rental income [2]</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B8860B"/>
          <w:sz w:val="16"/>
        </w:rPr>
        <w:t xml:space="preserve"> MODERATE </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(6/9): Luxury hospitality is a physical-world, human-service business that AI cannot directly substitute — guests require physical hotel rooms, in-person service, and experiential travel that AI cannot replicate [2]. Host's role as a property owner (not operator) further insulates it from direct AI disruption, as Marriott, Hyatt, and Hilton handle technology and guest interaction. However, AI-powered travel agents and booking platforms are emerging as new intermediaries that could exert pricing pressure on hotels, with industry research showing 80% of travelers already using AI tools for trip planning [2]. The brands Host partners with have massive loyalty programs and direct booking platforms that partially buffer this risk, but AI-driven distribution shifts represent a meaningful uncertainty for the lodging sector. AI Opportunity (0/1): Host does not generate AI-related revenue. AI deployment for dynamic pricing, revenue management, and operational efficiency is handled by the operator brands, not by Host as property owner [2].</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16A34A"/>
          <w:sz w:val="28"/>
        </w:rPr>
        <w:t>61</w:t>
      </w:r>
      <w:r>
        <w:rPr>
          <w:rFonts w:ascii="Calibri" w:hAnsi="Calibri"/>
          <w:b/>
          <w:color w:val="B8860B"/>
          <w:sz w:val="20"/>
        </w:rPr>
        <w:t xml:space="preserve">    ALIGNED</w:t>
      </w:r>
    </w:p>
    <w:p>
      <w:pPr>
        <w:spacing w:before="80" w:after="40"/>
      </w:pPr>
      <w:r>
        <w:rPr>
          <w:rFonts w:ascii="Calibri" w:hAnsi="Calibri"/>
          <w:b/>
          <w:color w:val="6E8450"/>
          <w:sz w:val="18"/>
        </w:rPr>
        <w:t xml:space="preserve">Positive: </w:t>
      </w:r>
      <w:r>
        <w:rPr>
          <w:rFonts w:ascii="Calibri" w:hAnsi="Calibri"/>
          <w:b/>
          <w:color w:val="16A34A"/>
          <w:sz w:val="17"/>
        </w:rPr>
        <w:t xml:space="preserve"> Business Resilience </w:t>
      </w:r>
      <w:r>
        <w:rPr>
          <w:rFonts w:ascii="Calibri" w:hAnsi="Calibri"/>
          <w:b w:val="0"/>
          <w:color w:val="9DAF88"/>
          <w:sz w:val="17"/>
        </w:rPr>
        <w:t xml:space="preserve">  ·  </w:t>
      </w:r>
      <w:r>
        <w:rPr>
          <w:rFonts w:ascii="Calibri" w:hAnsi="Calibri"/>
          <w:b/>
          <w:color w:val="16A34A"/>
          <w:sz w:val="17"/>
        </w:rPr>
        <w:t xml:space="preserve"> Data Security </w:t>
      </w:r>
      <w:r>
        <w:rPr>
          <w:rFonts w:ascii="Calibri" w:hAnsi="Calibri"/>
          <w:b w:val="0"/>
          <w:color w:val="9DAF88"/>
          <w:sz w:val="17"/>
        </w:rPr>
        <w:t xml:space="preserve">  ·  </w:t>
      </w:r>
      <w:r>
        <w:rPr>
          <w:rFonts w:ascii="Calibri" w:hAnsi="Calibri"/>
          <w:b/>
          <w:color w:val="16A34A"/>
          <w:sz w:val="17"/>
        </w:rPr>
        <w:t xml:space="preserve"> Employee Wellbeing </w:t>
      </w:r>
      <w:r>
        <w:rPr>
          <w:rFonts w:ascii="Calibri" w:hAnsi="Calibri"/>
          <w:b w:val="0"/>
          <w:color w:val="9DAF88"/>
          <w:sz w:val="17"/>
        </w:rPr>
        <w:t xml:space="preserve">  ·  </w:t>
      </w:r>
      <w:r>
        <w:rPr>
          <w:rFonts w:ascii="Calibri" w:hAnsi="Calibri"/>
          <w:b/>
          <w:color w:val="16A34A"/>
          <w:sz w:val="17"/>
        </w:rPr>
        <w:t xml:space="preserve"> Energy Management </w:t>
      </w:r>
      <w:r>
        <w:rPr>
          <w:rFonts w:ascii="Calibri" w:hAnsi="Calibri"/>
          <w:b w:val="0"/>
          <w:color w:val="9DAF88"/>
          <w:sz w:val="17"/>
        </w:rPr>
        <w:t xml:space="preserve">  ·  </w:t>
      </w:r>
      <w:r>
        <w:rPr>
          <w:rFonts w:ascii="Calibri" w:hAnsi="Calibri"/>
          <w:b/>
          <w:color w:val="16A34A"/>
          <w:sz w:val="17"/>
        </w:rPr>
        <w:t xml:space="preserve"> Environmental Risk Mitigation </w:t>
      </w:r>
      <w:r>
        <w:rPr>
          <w:rFonts w:ascii="Calibri" w:hAnsi="Calibri"/>
          <w:b w:val="0"/>
          <w:color w:val="9DAF88"/>
          <w:sz w:val="17"/>
        </w:rPr>
        <w:t xml:space="preserve">  ·  </w:t>
      </w:r>
      <w:r>
        <w:rPr>
          <w:rFonts w:ascii="Calibri" w:hAnsi="Calibri"/>
          <w:b/>
          <w:color w:val="16A34A"/>
          <w:sz w:val="17"/>
        </w:rPr>
        <w:t xml:space="preserve"> Ethical Supply Chain Management </w:t>
      </w:r>
      <w:r>
        <w:rPr>
          <w:rFonts w:ascii="Calibri" w:hAnsi="Calibri"/>
          <w:b w:val="0"/>
          <w:color w:val="9DAF88"/>
          <w:sz w:val="17"/>
        </w:rPr>
        <w:t xml:space="preserve">  ·  </w:t>
      </w:r>
      <w:r>
        <w:rPr>
          <w:rFonts w:ascii="Calibri" w:hAnsi="Calibri"/>
          <w:b/>
          <w:color w:val="16A34A"/>
          <w:sz w:val="17"/>
        </w:rPr>
        <w:t xml:space="preserve"> GHG Emissions </w:t>
      </w:r>
      <w:r>
        <w:rPr>
          <w:rFonts w:ascii="Calibri" w:hAnsi="Calibri"/>
          <w:b w:val="0"/>
          <w:color w:val="9DAF88"/>
          <w:sz w:val="17"/>
        </w:rPr>
        <w:t xml:space="preserve">  ·  </w:t>
      </w:r>
      <w:r>
        <w:rPr>
          <w:rFonts w:ascii="Calibri" w:hAnsi="Calibri"/>
          <w:b/>
          <w:color w:val="16A34A"/>
          <w:sz w:val="17"/>
        </w:rPr>
        <w:t xml:space="preserve"> Hiring Ethics </w:t>
      </w:r>
      <w:r>
        <w:rPr>
          <w:rFonts w:ascii="Calibri" w:hAnsi="Calibri"/>
          <w:b w:val="0"/>
          <w:color w:val="9DAF88"/>
          <w:sz w:val="17"/>
        </w:rPr>
        <w:t xml:space="preserve">  ·  </w:t>
      </w:r>
      <w:r>
        <w:rPr>
          <w:rFonts w:ascii="Calibri" w:hAnsi="Calibri"/>
          <w:b/>
          <w:color w:val="16A34A"/>
          <w:sz w:val="17"/>
        </w:rPr>
        <w:t xml:space="preserve"> Human Rights </w:t>
      </w:r>
      <w:r>
        <w:rPr>
          <w:rFonts w:ascii="Calibri" w:hAnsi="Calibri"/>
          <w:b w:val="0"/>
          <w:color w:val="9DAF88"/>
          <w:sz w:val="17"/>
        </w:rPr>
        <w:t xml:space="preserve">  ·  </w:t>
      </w:r>
      <w:r>
        <w:rPr>
          <w:rFonts w:ascii="Calibri" w:hAnsi="Calibri"/>
          <w:b/>
          <w:color w:val="16A34A"/>
          <w:sz w:val="17"/>
        </w:rPr>
        <w:t xml:space="preserve"> Low Ecological Impact </w:t>
      </w:r>
      <w:r>
        <w:rPr>
          <w:rFonts w:ascii="Calibri" w:hAnsi="Calibri"/>
          <w:b w:val="0"/>
          <w:color w:val="9DAF88"/>
          <w:sz w:val="17"/>
        </w:rPr>
        <w:t xml:space="preserve">  ·  </w:t>
      </w:r>
      <w:r>
        <w:rPr>
          <w:rFonts w:ascii="Calibri" w:hAnsi="Calibri"/>
          <w:b/>
          <w:color w:val="16A34A"/>
          <w:sz w:val="17"/>
        </w:rPr>
        <w:t xml:space="preserve"> Materials Efficiency </w:t>
      </w:r>
      <w:r>
        <w:rPr>
          <w:rFonts w:ascii="Calibri" w:hAnsi="Calibri"/>
          <w:b w:val="0"/>
          <w:color w:val="9DAF88"/>
          <w:sz w:val="17"/>
        </w:rPr>
        <w:t xml:space="preserve">  ·  </w:t>
      </w:r>
      <w:r>
        <w:rPr>
          <w:rFonts w:ascii="Calibri" w:hAnsi="Calibri"/>
          <w:b/>
          <w:color w:val="16A34A"/>
          <w:sz w:val="17"/>
        </w:rPr>
        <w:t xml:space="preserve"> Product Access and Affordability </w:t>
      </w:r>
      <w:r>
        <w:rPr>
          <w:rFonts w:ascii="Calibri" w:hAnsi="Calibri"/>
          <w:b w:val="0"/>
          <w:color w:val="9DAF88"/>
          <w:sz w:val="17"/>
        </w:rPr>
        <w:t xml:space="preserve">  ·  </w:t>
      </w:r>
      <w:r>
        <w:rPr>
          <w:rFonts w:ascii="Calibri" w:hAnsi="Calibri"/>
          <w:b/>
          <w:color w:val="16A34A"/>
          <w:sz w:val="17"/>
        </w:rPr>
        <w:t xml:space="preserve"> Product Sustainability </w:t>
      </w:r>
      <w:r>
        <w:rPr>
          <w:rFonts w:ascii="Calibri" w:hAnsi="Calibri"/>
          <w:b w:val="0"/>
          <w:color w:val="9DAF88"/>
          <w:sz w:val="17"/>
        </w:rPr>
        <w:t xml:space="preserve">  ·  </w:t>
      </w:r>
      <w:r>
        <w:rPr>
          <w:rFonts w:ascii="Calibri" w:hAnsi="Calibri"/>
          <w:b/>
          <w:color w:val="16A34A"/>
          <w:sz w:val="17"/>
        </w:rPr>
        <w:t xml:space="preserve"> Regulatory Adherence </w:t>
      </w:r>
      <w:r>
        <w:rPr>
          <w:rFonts w:ascii="Calibri" w:hAnsi="Calibri"/>
          <w:b w:val="0"/>
          <w:color w:val="9DAF88"/>
          <w:sz w:val="17"/>
        </w:rPr>
        <w:t xml:space="preserve">  ·  </w:t>
      </w:r>
      <w:r>
        <w:rPr>
          <w:rFonts w:ascii="Calibri" w:hAnsi="Calibri"/>
          <w:b/>
          <w:color w:val="16A34A"/>
          <w:sz w:val="17"/>
        </w:rPr>
        <w:t xml:space="preserve"> Waste and Hazmat Management </w:t>
      </w:r>
      <w:r>
        <w:rPr>
          <w:rFonts w:ascii="Calibri" w:hAnsi="Calibri"/>
          <w:b w:val="0"/>
          <w:color w:val="9DAF88"/>
          <w:sz w:val="17"/>
        </w:rPr>
        <w:t xml:space="preserve">  ·  </w:t>
      </w:r>
      <w:r>
        <w:rPr>
          <w:rFonts w:ascii="Calibri" w:hAnsi="Calibri"/>
          <w:b/>
          <w:color w:val="16A34A"/>
          <w:sz w:val="17"/>
        </w:rPr>
        <w:t xml:space="preserve"> Water Conservation </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Host Hotels &amp; Resorts Q2 2026 Earnings Release — Revenue $1.64B (+3.4% YoY), Net Income $241M, Adjusted FFO $0.63/share (+8.6%), RevPAR $251.53 (+7.0%), Raised Full-Year Guidance to 4.75-5.25% RevPAR Growth, Adjusted EBITDAre $1.82-1.84B, July 2026</w:t>
      </w:r>
    </w:p>
    <w:p>
      <w:pPr>
        <w:spacing w:before="20" w:after="20"/>
        <w:ind w:left="170"/>
      </w:pPr>
      <w:r>
        <w:rPr>
          <w:rFonts w:ascii="Calibri" w:hAnsi="Calibri"/>
          <w:b/>
          <w:color w:val="4A6B25"/>
          <w:sz w:val="15"/>
        </w:rPr>
        <w:t xml:space="preserve">2. </w:t>
      </w:r>
      <w:r>
        <w:rPr>
          <w:rFonts w:ascii="Calibri" w:hAnsi="Calibri"/>
          <w:b w:val="0"/>
          <w:color w:val="3A4A28"/>
          <w:sz w:val="17"/>
        </w:rPr>
        <w:t>AI Disruption in Hospitality — BCG Executive Perspectives, Hospitality Net, Fortune — AI Travel Booking Intermediaries and 80% AI Trip Planning Adoption, 2025-2026</w:t>
      </w:r>
    </w:p>
    <w:p>
      <w:pPr>
        <w:spacing w:before="20" w:after="20"/>
        <w:ind w:left="170"/>
      </w:pPr>
      <w:r>
        <w:rPr>
          <w:rFonts w:ascii="Calibri" w:hAnsi="Calibri"/>
          <w:b/>
          <w:color w:val="4A6B25"/>
          <w:sz w:val="15"/>
        </w:rPr>
        <w:t xml:space="preserve">3. </w:t>
      </w:r>
      <w:r>
        <w:rPr>
          <w:rFonts w:ascii="Calibri" w:hAnsi="Calibri"/>
          <w:b w:val="0"/>
          <w:color w:val="3A4A28"/>
          <w:sz w:val="17"/>
        </w:rPr>
        <w:t>Host Hotels Corporate Strategy, Mission, AHLA 5-Star Promise, CEO Action for Diversity, Rising Stars Program, NAREIT Talent Recognition, Insider Activity — hosthotels.com, SEC filings, accessed August 2026</w:t>
      </w:r>
    </w:p>
    <w:p>
      <w:pPr>
        <w:spacing w:before="20" w:after="20"/>
        <w:ind w:left="170"/>
      </w:pPr>
      <w:r>
        <w:rPr>
          <w:rFonts w:ascii="Calibri" w:hAnsi="Calibri"/>
          <w:b/>
          <w:color w:val="4A6B25"/>
          <w:sz w:val="15"/>
        </w:rPr>
        <w:t xml:space="preserve">4. </w:t>
      </w:r>
      <w:r>
        <w:rPr>
          <w:rFonts w:ascii="Calibri" w:hAnsi="Calibri"/>
          <w:b w:val="0"/>
          <w:color w:val="3A4A28"/>
          <w:sz w:val="17"/>
        </w:rPr>
        <w:t>StockAnalysis.com — HST Key Statistics: Stock Price $22.57, PE 15.39, Forward PE 22.95, ROE 15.56%, Profit Margin 16.47%, D/E 85%, Avg Volume 9.66M, Dividend Yield 4.15%, accessed August 2026</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