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JPM</w:t>
      </w:r>
      <w:r>
        <w:rPr>
          <w:rFonts w:ascii="Calibri" w:hAnsi="Calibri"/>
          <w:b/>
          <w:color w:val="1A2010"/>
          <w:sz w:val="40"/>
        </w:rPr>
        <w:t xml:space="preserve">  JPMorgan Chase &amp; Co.</w:t>
      </w:r>
    </w:p>
    <w:p>
      <w:pPr>
        <w:spacing w:after="120"/>
      </w:pPr>
      <w:r>
        <w:rPr>
          <w:rFonts w:ascii="Calibri" w:hAnsi="Calibri"/>
          <w:b/>
          <w:color w:val="6E8450"/>
          <w:sz w:val="18"/>
        </w:rPr>
        <w:t>GROWTH SLEEVE · 2026-08-17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United States</w:t>
      </w:r>
    </w:p>
    <w:p>
      <w:pPr>
        <w:spacing w:after="80"/>
      </w:pPr>
      <w:r>
        <w:rPr>
          <w:rFonts w:ascii="Calibri" w:hAnsi="Calibri"/>
          <w:b w:val="0"/>
          <w:color w:val="3A4A28"/>
          <w:sz w:val="20"/>
        </w:rPr>
        <w:t>JPMorgan Chase is the largest U.S. bank by assets ($4.1T+), operating across Consumer &amp; Community Banking, Corporate &amp; Investment Bank, Commercial Banking, and Asset &amp; Wealth Management. Q2 2026 delivered record net income of $21.2B ($7.70/share) on revenue of $57.3B (+28% YoY), with equities revenue surging 86% and investment banking fees up 30%. CEO Jamie Dimon has led the bank since 2005. JPM invests $2B+ annually in AI with 450+ use cases deployed across 60% of its 318,500-person workforce. Market cap of $964.5B. Headquartered in New York City.</w:t>
      </w:r>
    </w:p>
    <w:p>
      <w:r>
        <w:rPr>
          <w:rFonts w:ascii="Calibri" w:hAnsi="Calibri"/>
          <w:b/>
          <w:color w:val="6E8450"/>
          <w:sz w:val="18"/>
        </w:rPr>
        <w:t>318,500 Employees · https://www.jpmorganchase.com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JPMorgan has executed significant strategic moves in the last 5 years — the $10.6B First Republic acquisition (2023) added $92B in deposits and $173B in loans, the launch of Chase UK expanded the consumer franchise internationally, and the bank's technology platform consistently ranks as the most advanced in banking [1]. Q2 2026 revenue of $57.3B (+28% YoY) with record net income of $21.2B demonstrates sustained execution. AI Deployment (2/2): JPM invests $2B+ annually in AI with over 450 use cases deployed across 60% of its workforce — the most aggressive AI adoption in global banking [2]. Measurable results: operations teams handle 6% more accounts per employee, fraud costs per unit fell 11%, software engineer productivity climbed 10%. The bank is executing 'huge redeployment plans' shifting displaced operations staff to client-facing roles rather than layoffs [2]. Market Share (2/2): JPMorgan is the largest U.S. bank by assets ($4.1T+), the #1 or #2 investment bank globally, the largest U.S. credit card issuer, and a dominant commercial lender [1]. Equities revenue surged 86% in Q2, reflecting share gains in a growth market. Product Pipeline (1/2): Full-year NII guidance raised to $105.5B, AI use cases expanding, dividend increased to $1.65/share starting Q3, but no transformative new product with specific launch date [1]. R&amp;D Intensity (1/1): Technology spend of $17B+ annually (~9% of revenue) is the highest absolute tech budget in banking and well above industry average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JPMorgan Chase's purpose centers on 'making dreams possible for everyone, everywhere, every day' and enabling inclusive economic growth — clear and specific about stakeholder impact but not deeply distinctive from other major banks [3]. Dimon's annual shareholder letters articulate a thoughtful vision connecting banking to societal prosperity, but the mission itself is standard for a universal bank. Community Impact (1/2): JPMorgan has committed $30B+ to advance racial equity and invested in community development across underserved neighborhoods. The bank maintains $2.5B+ in community development lending annually and operates the JPMorgan Chase Foundation [3]. However, these programs are expected at scale for the world's largest bank. Employee Retention (1/2): Headcount of 318,500 has remained stable even as AI displaces operations roles — the bank is redeploying displaced workers to revenue-generating positions rather than conducting layoffs, with operations roles down 4% offset by 4% client-facing growth [2]. This AI redeployment approach signals organizational trust. Insider Buying (0/2): Jamie Dimon is a consistent net seller of JPM shares, having sold over $150M in 2024 alone. No meaningful net insider buying by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D/E excluded as non-meaningful for banks). ROE of 17.79% exceeds the 15% target, scoring 1.0 at 2x weight — return on tangible common equity of 23% Q2 2026 further underscores capital efficiency [1]. Forward P/E of 15.03 is reasonable for the highest-quality bank franchise, scoring 1.0. Profit margin of 34.92% is exceptional, scoring 1.0. Revenue growth YoY of ~28% driven by equities surge (+86%), investment banking (+30%), and NII growth (+10%) to $57.3B quarterly [1]. 5-year revenue CAGR of 8.57% scores 0.91 at 2x weight. PEG ratio of 1.52 scores 0.74 at 2x weight. Record Q2 net income of $21.2B ($7.70/share) with managed overhead ratio improvement. NII guidance raised to $105.5B for full-year 2026. Daily dollar volume of ~$2.34B provides exceptional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JPMorgan Chase under Jamie Dimon's 21-year tenure is one of the strongest infinite game players in financial services — a leader who navigated the 2008 crisis, acquired Bear Stearns and WaMu to stabilize the system, invested consistently in technology and talent through cycles, and now leads the industry's AI transformation. Dimon's shareholder letters articulate a genuine long-term vision connecting banking to societal prosperity. The AI redeployment strategy — shifting displaced workers rather than layoffs — reflects infinite-game values. However, the bank's $348M in trade surveillance fines and persistent regulatory friction suggest governance gaps, and the inevitable CEO succession question (Dimon is 70) represents the largest unresolved risk to purpose continuity.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Jamie Dimon has articulated a distinctive and genuinely held purpose — connecting banking to broad economic prosperity and demonstrating that a well-run bank can serve shareholders, employees, communities, and the economy simultaneously [3]. This purpose has been validated by 21 years of consistent execution through the 2008 crisis, COVID, and now the AI transition. Dimon's annual letters are substantive strategic documents, not marketing. However, the cause has not yet survived a leadership transition — Dimon's personal conviction IS the Just Cause, and whether it persists post-Dimon is untested.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AI workforce redeployment strategy — absorbing 4% operations role reductions into 4% client-facing expansion rather than conducting layoffs — demonstrates organizational trust and a 'Circle of Safety' approach during technological disruption [2]. Headcount of 318,500 has remained stable. However, the bank's $348M in trade surveillance fines for monitoring failures spanning 2014-2023 suggests systemic governance gaps at the operational level [3]. A truly trusting organization would surface these issues internally before regulators discover them.</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Jamie Dimon consistently acknowledges fintech and big tech as worthy rivals whose strengths push JPMorgan to improve. His annual letters explicitly discuss what Apple Pay, Stripe, and fintech challengers do better, and the $17B+ tech budget is a direct response to competitive pressure [2]. Dimon's leadership of the cross-industry AI risk initiative demonstrates competitive awareness oriented toward system-level improvement. The bank competes to learn and lead, not to destroy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JPMorgan has evolved significantly under Dimon — the 2008 Bear Stearns/WaMu acquisitions reshaped the franchise, the 2023 First Republic acquisition added $92B in deposits, and the $2B+ annual AI investment represents a strategic bet on technological transformation [1][2]. The Chase UK international expansion shows willingness to enter new markets. However, JPMorgan has not fundamentally reinvented its business model — it remains a universal bank executing the same core model (deposits, lending, trading, advisory) more effectively than peers.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Jamie Dimon demonstrates a consistent pattern of courageous, long-term decisions. Acquiring Bear Stearns (2008) and WaMu during the crisis when others retreated stabilized the financial system at personal regulatory risk [1]. The $10.6B First Republic acquisition (2023) was a bold bet on the franchise. Investing $17B+ annually in technology and $2B+ in AI during uncertain economic conditions reflects long-term conviction over quarterly optimization. The AI workforce redeployment — choosing to retrain and redeploy displaced employees rather than reduce headcount — sacrifices short-term cost efficiency for organizational resilience [2]. Dimon publicly warns about AI job displacement while simultaneously leading the industry's largest AI adoption.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JPMorgan Chase at 15.03x forward earnings is the highest-quality bank franchise globally, delivering record Q2 2026 net income of $21.2B ($7.70/share) on revenue of $57.3B (+28% YoY) with ROTCE of 23% [1]. The bank dominates across every major business line — equities revenue surged 86%, investment banking fees jumped 30%, and NII guidance was raised to $105.5B for full-year 2026. The $2B+ annual AI investment with 450+ use cases deployed across 60% of the workforce is generating measurable results: 6% more accounts per employee, 11% lower fraud costs, 10% higher engineering productivity [2]. ROE of 17.79%, profit margin of 34.92%, and a conservative payout ratio of 25.75% with dividend raised to $1.65/share provide sustainable capital returns. The 5-year revenue CAGR of 8.57% and 5-year dividend growth CAGR of 10.73% demonstrate compounding power. Jamie Dimon's 21-year track record of navigating crises while investing through cycles is unmatched in banking.</w:t>
      </w:r>
    </w:p>
    <w:p>
      <w:pPr>
        <w:spacing w:after="120"/>
      </w:pPr>
      <w:r>
        <w:rPr>
          <w:rFonts w:ascii="Calibri" w:hAnsi="Calibri"/>
          <w:b w:val="0"/>
          <w:color w:val="3A4A28"/>
          <w:sz w:val="20"/>
        </w:rPr>
        <w:t>The bear case centers on cyclicality, regulatory risk, and CEO succession uncertainty. JPMorgan's record results are heavily driven by elevated trading activity (equities +86%) and investment banking volumes (+30%) that are inherently cyclical — any market downturn would compress these revenue lines materially [1]. The bank faces persistent regulatory friction: $348M in trade surveillance fines and a $12.18M ECB penalty for risk-weighted asset misreporting in 2026 alone suggest systemic compliance gaps despite massive compliance spend [3]. Forward P/E of 15.03x and PEG of 1.52 price in continued growth that may not materialize in a recession. The card net charge-off rate of ~3.2% signals consumer credit stress. The elephant in the room is CEO succession — Jamie Dimon at 70 has not named a successor, and his personal leadership IS the franchise premium; post-Dimon JPM is uncharted territory. The Inspire MISALIGNED rating (-67) with Abortion Activism and LGBT Activism attributions limits the faith-based institutional investor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trading and investment banking revenue — equities +86%, IB fees +30% — with full-year NII guidance raised to $105.5B, suggesting JPM is gaining market share across capital markets businesses and sustaining the earnings trajectory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transformation with $2B+ annual investment and 450+ use cases generating measurable productivity gains (6% more accounts/employee, 11% lower fraud, 10% higher engineering productivity), creating compounding efficiency advantages over competitors [2]</w:t>
      </w:r>
    </w:p>
    <w:p>
      <w:pPr>
        <w:spacing w:before="40" w:after="40"/>
        <w:ind w:left="283"/>
      </w:pPr>
      <w:r>
        <w:rPr>
          <w:rFonts w:ascii="Calibri" w:hAnsi="Calibri"/>
          <w:b/>
          <w:color w:val="4A6B25"/>
          <w:sz w:val="20"/>
        </w:rPr>
        <w:t xml:space="preserve">3. </w:t>
      </w:r>
      <w:r>
        <w:rPr>
          <w:rFonts w:ascii="Calibri" w:hAnsi="Calibri"/>
          <w:b w:val="0"/>
          <w:color w:val="3A4A28"/>
          <w:sz w:val="20"/>
        </w:rPr>
        <w:t>Dividend increase to $1.65/share starting Q3 2026 (+13.2% YoY) with a conservative 25.75% payout ratio leaving substantial room for further increases and buybacks, supported by ROTCE of 23%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Cyclicality risk — record trading revenue (equities +86%) and elevated investment banking activity (+30%) are inherently cyclical, and any market downturn would compress capital markets income that drove the Q2 earnings beat [1]</w:t>
      </w:r>
    </w:p>
    <w:p>
      <w:pPr>
        <w:spacing w:before="40" w:after="40"/>
        <w:ind w:left="283"/>
      </w:pPr>
      <w:r>
        <w:rPr>
          <w:rFonts w:ascii="Calibri" w:hAnsi="Calibri"/>
          <w:b/>
          <w:color w:val="4A6B25"/>
          <w:sz w:val="20"/>
        </w:rPr>
        <w:t xml:space="preserve">2. </w:t>
      </w:r>
      <w:r>
        <w:rPr>
          <w:rFonts w:ascii="Calibri" w:hAnsi="Calibri"/>
          <w:b w:val="0"/>
          <w:color w:val="3A4A28"/>
          <w:sz w:val="20"/>
        </w:rPr>
        <w:t>CEO succession uncertainty — Jamie Dimon at 70 has not named a successor, and his personal leadership is deeply embedded in JPM's franchise premium; a poorly managed transition could erode the bank's strategic coherence and competitive positioning</w:t>
      </w:r>
    </w:p>
    <w:p>
      <w:pPr>
        <w:spacing w:before="40" w:after="40"/>
        <w:ind w:left="283"/>
      </w:pPr>
      <w:r>
        <w:rPr>
          <w:rFonts w:ascii="Calibri" w:hAnsi="Calibri"/>
          <w:b/>
          <w:color w:val="4A6B25"/>
          <w:sz w:val="20"/>
        </w:rPr>
        <w:t xml:space="preserve">3. </w:t>
      </w:r>
      <w:r>
        <w:rPr>
          <w:rFonts w:ascii="Calibri" w:hAnsi="Calibri"/>
          <w:b w:val="0"/>
          <w:color w:val="3A4A28"/>
          <w:sz w:val="20"/>
        </w:rPr>
        <w:t>Persistent regulatory friction — $348M in trade surveillance fines plus $12.18M ECB penalty for risk-weighted asset misreporting suggest systemic compliance gaps that could escalate into consent orders or business restrictions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faces moderate AI exposure — fintech challengers, robo-advisory platforms, and AI-powered lending algorithms could displace portions of traditional banking services [2]. However, JPMorgan's massive regulatory moat (banking charter, systemic importance designation, compliance infrastructure), $4.1T+ asset base, and deep client relationships create structural defenses that AI startups cannot easily replicate. The bank's physical branch network, commercial lending relationships, and investment banking advisory services require human trust and regulatory compliance that AI alone cannot provide. Jamie Dimon has warned that AI will impact 'virtually every function' at JPM, but frames this as an opportunity rather than a threat [2]. AI Opportunity (1/1): JPMorgan generates significant AI-driven value through $2B+ annual AI investment with 450+ use cases deployed across 60% of its workforce [2]. Measurable results include 6% more accounts handled per employee in operations, 11% reduction in fraud costs per unit, and 10% improvement in software engineer productivity. The bank is the acknowledged leader in financial services AI adoption, and Dimon leads a cross-industry effort to address AI risks, positioning JPM as the standard-setter.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JPMorgan Chase Q2 2026 Earnings Release — Record Net Income $21.2B ($7.70/share), Revenue $57.3B (+28%), Equities +86%, IB Fees +30%, NII Guidance $105.5B, Dividend $1.65, August 2026</w:t>
      </w:r>
    </w:p>
    <w:p>
      <w:pPr>
        <w:spacing w:before="20" w:after="20"/>
        <w:ind w:left="170"/>
      </w:pPr>
      <w:r>
        <w:rPr>
          <w:rFonts w:ascii="Calibri" w:hAnsi="Calibri"/>
          <w:b/>
          <w:color w:val="4A6B25"/>
          <w:sz w:val="15"/>
        </w:rPr>
        <w:t xml:space="preserve">2. </w:t>
      </w:r>
      <w:r>
        <w:rPr>
          <w:rFonts w:ascii="Calibri" w:hAnsi="Calibri"/>
          <w:b w:val="0"/>
          <w:color w:val="3A4A28"/>
          <w:sz w:val="17"/>
        </w:rPr>
        <w:t>JPMorgan Chase AI Strategy — $2B+ Annual AI Investment, 450+ Use Cases, 60% Workforce Adoption, Fraud -11%, Productivity +10%, Redeployment Plans, CNBC/CIO/Fortune, 2026</w:t>
      </w:r>
    </w:p>
    <w:p>
      <w:pPr>
        <w:spacing w:before="20" w:after="20"/>
        <w:ind w:left="170"/>
      </w:pPr>
      <w:r>
        <w:rPr>
          <w:rFonts w:ascii="Calibri" w:hAnsi="Calibri"/>
          <w:b/>
          <w:color w:val="4A6B25"/>
          <w:sz w:val="15"/>
        </w:rPr>
        <w:t xml:space="preserve">3. </w:t>
      </w:r>
      <w:r>
        <w:rPr>
          <w:rFonts w:ascii="Calibri" w:hAnsi="Calibri"/>
          <w:b w:val="0"/>
          <w:color w:val="3A4A28"/>
          <w:sz w:val="17"/>
        </w:rPr>
        <w:t>JPMorgan Chase Regulatory and ESG — $348M Trade Surveillance Fines, $12.18M ECB Penalty, Inspire Score -67,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JPM Key Statistics: Forward P/E 15.03x, ROE 17.79%, Profit Margin 34.92%, Dividend Yield 1.65%, PEG 1.52, Stock Price $362.84,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