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KLC</w:t>
      </w:r>
      <w:r>
        <w:rPr>
          <w:rFonts w:ascii="Calibri" w:hAnsi="Calibri"/>
          <w:b/>
          <w:color w:val="1A2010"/>
          <w:sz w:val="40"/>
        </w:rPr>
        <w:t xml:space="preserve">  KinderCare Learning Companies, Inc.</w:t>
      </w:r>
    </w:p>
    <w:p>
      <w:pPr>
        <w:spacing w:after="120"/>
      </w:pPr>
      <w:r>
        <w:rPr>
          <w:rFonts w:ascii="Calibri" w:hAnsi="Calibri"/>
          <w:b/>
          <w:color w:val="6E8450"/>
          <w:sz w:val="18"/>
        </w:rPr>
        <w:t>GROWTH SLEEVE · 2026-08-06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KinderCare Learning Companies is the largest private provider of early childhood education and care in the United States, operating over 2,400 learning centers and sites nationwide. The company offers center-based programs for infants, toddlers, preschool, and kindergarten students, along with before- and after-school and summer camp programs. KinderCare IPO'd in 2024 at $24/share and is majority-owned by Partners Group. CEO Tom Wyatt returned to lead the company in December 2025 after 12 years of prior tenure.</w:t>
      </w:r>
    </w:p>
    <w:p>
      <w:r>
        <w:rPr>
          <w:rFonts w:ascii="Calibri" w:hAnsi="Calibri"/>
          <w:b/>
          <w:color w:val="6E8450"/>
          <w:sz w:val="18"/>
        </w:rPr>
        <w:t>35,000 Employees · https://www.kindercare.com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KinderCare operates a traditional center-based childcare model that has not materially changed over the past five years. The company IPO'd in 2024 but this was a financial event, not a product or model innovation. No transformative launches, pivots, or business model transformations have been identified [1]. AI Deployment (0/2): No AI-powered products or services are shipping to customers, and no quantified internal AI-driven cost savings have been reported. Childcare is inherently a human-intensive service with limited AI applicability. Market Share (1/2): KinderCare is the nation's largest private childcare provider with 2,400+ centers, representing a meaningful leadership position in a highly fragmented market [2]. However, the company is not gaining share — revenue grew only 0.6% in Q1 2026 and occupancy recovery remains slow. Product Pipeline (0/2): No next-gen products, services, or curriculum innovations with specific timelines and revenue visibility have been publicly announced. The former Chief Innovation Officer was promoted to COO but no specific innovation pipeline was detailed [2]. R&amp;D Intensity (0/1): Childcare companies do not allocate measurable R&amp;D as a percentage of revenue. KinderCare's investments are in staffing, center operations, and regulatory compliance rather than research and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KinderCare's mission centers on preparing children for school and life through quality early childhood education, which connects to a genuine societal need — affordable, quality childcare is a critical issue for working families in America [2]. The mission is clear and identifies what the company does for whom, but is not distinctively transformative compared to other early education providers. Community Impact (0/2): No specific charitable programs, foundation giving, or community investment with quantified dollar amounts were identified beyond the core educational mission itself. Employee Retention (2/2): KinderCare has won the Gallup Great Workplace Award every year since 2017 — nine consecutive years of recognized employee engagement excellence across a 35,000-person workforce [2]. CEO Wyatt's prior 12-year tenure drove 'record-high levels of employee and customer engagement,' and a Chief People Officer oversees talent investment and culture. This is exceptional evidence of above-average retention and engagement. Insider Buying (2/2): CEO Tom Wyatt purchased 494,118 shares at approximately $2.02/share (~$1.0M personal investment) in March 2026, shortly after returning as CEO [3]. Director Michael Nuzzo bought 25,000 shares at $2.22 ($55,500). No insider sells were reported during this period. The CEO putting $1M of personal capital at risk at the stock's lowest levels is a strong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KinderCare's financial profile reflects a company burdened by private equity-era leverage. D/E of 538% exceeds the 300% floor, scoring 0 on this metric [4]. ROE of -62.5% reflects a GAAP net loss of $424M (including $273.5M in goodwill impairment charges) and scores 0. Profit margin of -15.5% is deeply negative, also scoring 0. Revenue growth of ~0.6% in Q1 2026 is positive but well below the 10% target. Forward P/E of 24.0 is slightly above target but reasonable for the sector. The Altman Z-Score of 0.89 indicates elevated bankruptcy risk driven by $2.53B in total debt against a $625M market cap. The bright spots are minimal — positive operating cash flow of $171M and $36M in free cash flow demonstrate the underlying business generates cash despite the balance sheet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KinderCare's early childhood education mission inherently connects to a meaningful cause, but the company's execution tells a finite-game story. Private equity ownership (Partners Group controlling stake), an IPO at $24 that collapsed to $2, a $273.5M goodwill impairment, safety controversies documented by short sellers and congressional investigators, and leadership instability (CEO change in December 2025) all point to a company managed for financial extraction rather than enduring purpose. Tom Wyatt's return and personal investment offer a potential reset, but the finite-game damage runs deep.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Early childhood education is inherently purposeful — preparing children for school and life is a cause that resonates beyond profit. However, KinderCare's actions undermine the articulated purpose: a short seller report documented safety failures including children left unsupervised, instances of abuse, and regulatory violations [3]. A congressional investigation questioned whether the company prioritizes profits over quality childcare under private equity ownership. Investor lawsuits allege misrepresentation of safety and quality standards. When the gap between stated purpose and actual behavior is this wide, the cause reads as marketing rather than a genuine organizational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Gallup Great Workplace Award every year since 2017 is genuine evidence of employee engagement at the corporate level [2]. A dedicated Chief People Officer and CEO Wyatt's prior track record of 'record-high employee engagement' suggest organizational investment in culture. However, safety controversies at individual centers — regulatory citations for inadequate supervision, unsafe conditions, and failure to report abuse allegations — suggest a disconnect between corporate culture and frontline operations across 2,400+ locations [3]. High turnover is endemic in the childcare industry, and the gap between corporate engagement scores and center-level safety failures is concerning.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KinderCare acknowledging competitors' strengths or using competitive pressure for self-improvement. The childcare industry is highly fragmented with limited direct public competitors, making competitive benchmarking less visible. The company's communications focus on operational metrics and financial recovery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KinderCare has operated the same center-based childcare model without transformative strategic pivots. The IPO in 2024 was a financial event (private equity exit), not a strategic reinvention. No evidence of the company making dramatic shifts to its business model, entering fundamentally new markets, or abandoning legacy approaches in service of its educational mission. The company is rigid in its operational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Tom Wyatt's return in December 2025 and subsequent personal purchase of 494,118 shares (~$1M) at the stock's lowest levels demonstrates personal conviction and financial alignment with shareholders [3]. Bringing back a proven leader (12 years prior tenure) to stabilize the company during a crisis shows the board making a deliberate long-term bet. However, the leadership instability that necessitated Wyatt's return — and the safety and governance failures that preceded it — reflect organizational weaknesses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KinderCare at $5.28 (0.23x revenue) prices in severe distress for the nation's largest private childcare provider with 2,400+ centers and $2.74B in TTM revenue [1]. CEO Tom Wyatt's return after 12 years of prior leadership — backed by ~$1M personal stock purchase at $2.02 — signals genuine conviction in a turnaround [3]. The Gallup Great Workplace Award (won every year since 2017) demonstrates strong organizational culture, and childcare is structurally immune to AI disruption with increasing societal demand as more parents enter the workforce. Full-year 2026 guidance of $2.7-2.75B in revenue and $215-235M in adjusted EBITDA shows the underlying business generates cash ($171M operating cash flow TTM). If Wyatt can restore occupancy, resolve safety controversies, and improve profitability, the stock is deeply mispriced relative to the asset base.</w:t>
      </w:r>
    </w:p>
    <w:p>
      <w:pPr>
        <w:spacing w:after="120"/>
      </w:pPr>
      <w:r>
        <w:rPr>
          <w:rFonts w:ascii="Calibri" w:hAnsi="Calibri"/>
          <w:b w:val="0"/>
          <w:color w:val="3A4A28"/>
          <w:sz w:val="20"/>
        </w:rPr>
        <w:t>The bear case is existential. D/E of 538% with $2.53B in total debt against a $625M market cap creates a balance sheet structure that leaves minimal equity cushion — the Altman Z-Score of 0.89 indicates elevated bankruptcy risk [4]. The $273.5M goodwill impairment in Q1 2026 signals management acknowledged the business is worth less than its carrying value. Safety controversies — documented by short sellers, state regulators, and a congressional investigation — threaten the brand that is the company's primary asset, and investor lawsuits allege misrepresentation of childcare quality [3]. Adjusted EBITDA declined 37.7% to $52.1M in Q1 2026, suggesting operational deterioration beyond one-time charges. The stock has fallen 78% from its $24 IPO price. Revenue growth of 0.6% in a childcare market with pricing power suggests occupancy and enrollment headwinds that the company has not solved despite market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Tom Wyatt's prior 12-year track record of driving occupancy and engagement recovery — his return could restore operational execution and rebuild investor confidence from deeply distressed levels [2][3]</w:t>
      </w:r>
    </w:p>
    <w:p>
      <w:pPr>
        <w:spacing w:before="40" w:after="40"/>
        <w:ind w:left="283"/>
      </w:pPr>
      <w:r>
        <w:rPr>
          <w:rFonts w:ascii="Calibri" w:hAnsi="Calibri"/>
          <w:b/>
          <w:color w:val="4A6B25"/>
          <w:sz w:val="20"/>
        </w:rPr>
        <w:t xml:space="preserve">2. </w:t>
      </w:r>
      <w:r>
        <w:rPr>
          <w:rFonts w:ascii="Calibri" w:hAnsi="Calibri"/>
          <w:b w:val="0"/>
          <w:color w:val="3A4A28"/>
          <w:sz w:val="20"/>
        </w:rPr>
        <w:t>Federal and state investments in early childhood education creating subsidy-driven demand tailwinds — KinderCare has publicly applauded state-level childcare funding increases that directly benefit enrollment [2]</w:t>
      </w:r>
    </w:p>
    <w:p>
      <w:pPr>
        <w:spacing w:before="40" w:after="40"/>
        <w:ind w:left="283"/>
      </w:pPr>
      <w:r>
        <w:rPr>
          <w:rFonts w:ascii="Calibri" w:hAnsi="Calibri"/>
          <w:b/>
          <w:color w:val="4A6B25"/>
          <w:sz w:val="20"/>
        </w:rPr>
        <w:t xml:space="preserve">3. </w:t>
      </w:r>
      <w:r>
        <w:rPr>
          <w:rFonts w:ascii="Calibri" w:hAnsi="Calibri"/>
          <w:b w:val="0"/>
          <w:color w:val="3A4A28"/>
          <w:sz w:val="20"/>
        </w:rPr>
        <w:t>Resolution of safety controversies and short seller allegations would remove a significant overhang — if investigations close without material findings, the brand damage could prove recoverable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leverage: $2.53B in debt against $625M market cap and $36M in free cash flow creates a capital structure where even modest operational deterioration could trigger covenant violations or restructuring [4]</w:t>
      </w:r>
    </w:p>
    <w:p>
      <w:pPr>
        <w:spacing w:before="40" w:after="40"/>
        <w:ind w:left="283"/>
      </w:pPr>
      <w:r>
        <w:rPr>
          <w:rFonts w:ascii="Calibri" w:hAnsi="Calibri"/>
          <w:b/>
          <w:color w:val="4A6B25"/>
          <w:sz w:val="20"/>
        </w:rPr>
        <w:t xml:space="preserve">2. </w:t>
      </w:r>
      <w:r>
        <w:rPr>
          <w:rFonts w:ascii="Calibri" w:hAnsi="Calibri"/>
          <w:b w:val="0"/>
          <w:color w:val="3A4A28"/>
          <w:sz w:val="20"/>
        </w:rPr>
        <w:t>Safety controversies are not isolated incidents but potential indicators of systemic quality failures across 2,400+ centers — congressional investigation, investor lawsuits, and regulatory citations threaten the core brand and licensing [3]</w:t>
      </w:r>
    </w:p>
    <w:p>
      <w:pPr>
        <w:spacing w:before="40" w:after="40"/>
        <w:ind w:left="283"/>
      </w:pPr>
      <w:r>
        <w:rPr>
          <w:rFonts w:ascii="Calibri" w:hAnsi="Calibri"/>
          <w:b/>
          <w:color w:val="4A6B25"/>
          <w:sz w:val="20"/>
        </w:rPr>
        <w:t xml:space="preserve">3. </w:t>
      </w:r>
      <w:r>
        <w:rPr>
          <w:rFonts w:ascii="Calibri" w:hAnsi="Calibri"/>
          <w:b w:val="0"/>
          <w:color w:val="3A4A28"/>
          <w:sz w:val="20"/>
        </w:rPr>
        <w:t>Private equity ownership (Partners Group) incentivizes cash extraction over long-term investment in center quality, staffing, and curriculum — the misalignment between financial sponsors and educational mission is the company's deepest structural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Childcare and early childhood education is among the most AI-immune businesses in existence. The service requires physical human presence with young children — feeding, comforting, teaching, supervising, and nurturing infants, toddlers, and preschoolers. State licensing regulations mandate specific adult-to-child ratios with trained, certified caregivers. AI cannot substitute for the human warmth, emotional intelligence, and physical care that defines childcare. No analyst has ever flagged AI as a displacement risk for childcare providers. If anything, AI-driven productivity gains in other sectors may increase demand for childcare as more parents enter the workforce. AI Opportunity (0/1): KinderCare generates no revenue from AI products or services. The childcare industry has minimal AI revenue opportunity — the service is inherently human-delivered and locally operated.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KinderCare Q1 2026 Earnings Release and Full-Year FY2025 Results — Revenue, EBITDA, Goodwill Impairment, and Guidance, May 2026</w:t>
      </w:r>
    </w:p>
    <w:p>
      <w:pPr>
        <w:spacing w:before="20" w:after="20"/>
        <w:ind w:left="170"/>
      </w:pPr>
      <w:r>
        <w:rPr>
          <w:rFonts w:ascii="Calibri" w:hAnsi="Calibri"/>
          <w:b/>
          <w:color w:val="4A6B25"/>
          <w:sz w:val="15"/>
        </w:rPr>
        <w:t xml:space="preserve">2. </w:t>
      </w:r>
      <w:r>
        <w:rPr>
          <w:rFonts w:ascii="Calibri" w:hAnsi="Calibri"/>
          <w:b w:val="0"/>
          <w:color w:val="3A4A28"/>
          <w:sz w:val="17"/>
        </w:rPr>
        <w:t>KinderCare Leadership, Culture, and Gallup Great Workplace Award — Comparably, BusinessWire CEO Announcement, and Company Website,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KinderCare Safety Controversies, Short Seller Report, Congressional Investigation, and Insider Buying Activity — Benzinga, SEC Form 4 Filings, and 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KLC Key Statistics, Valuation Ratios, Altman Z-Score,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