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LBTYK</w:t>
      </w:r>
      <w:r>
        <w:rPr>
          <w:rFonts w:ascii="Calibri" w:hAnsi="Calibri"/>
          <w:b/>
          <w:color w:val="1A2010"/>
          <w:sz w:val="40"/>
        </w:rPr>
        <w:t xml:space="preserve">  Liberty Global Ltd.</w:t>
      </w:r>
    </w:p>
    <w:p>
      <w:pPr>
        <w:spacing w:after="120"/>
      </w:pPr>
      <w:r>
        <w:rPr>
          <w:rFonts w:ascii="Calibri" w:hAnsi="Calibri"/>
          <w:b/>
          <w:color w:val="6E8450"/>
          <w:sz w:val="18"/>
        </w:rPr>
        <w:t>GROWTH SLEEVE · 2026-08-06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 · Bermuda</w:t>
      </w:r>
    </w:p>
    <w:p>
      <w:pPr>
        <w:spacing w:after="80"/>
      </w:pPr>
      <w:r>
        <w:rPr>
          <w:rFonts w:ascii="Calibri" w:hAnsi="Calibri"/>
          <w:b w:val="0"/>
          <w:color w:val="3A4A28"/>
          <w:sz w:val="20"/>
        </w:rPr>
        <w:t>Liberty Global is an international telecommunications and technology company providing broadband internet, video, fixed-line telephony, and mobile services primarily in Europe. Key operating companies include Ziggo (Netherlands), Telenet (Belgium), and VMO2 (UK joint venture with Telefonica). The company is executing a multi-year transformation including the planned Ziggo spin-off while pursuing aggressive share buybacks (7.65% yield). CEO Michael Fries has led the company since 2005.</w:t>
      </w:r>
    </w:p>
    <w:p>
      <w:r>
        <w:rPr>
          <w:rFonts w:ascii="Calibri" w:hAnsi="Calibri"/>
          <w:b/>
          <w:color w:val="6E8450"/>
          <w:sz w:val="18"/>
        </w:rPr>
        <w:t>19,000 Employees · https://www.libertyglobal.com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Liberty Global's past five years featured significant corporate restructuring — the VMO2 joint venture with Telefonica (UK), Telenet integration (Belgium), the planned Ziggo spin-off, and Sunrise spin-off — rather than product launches or business model innovation [1]. The company delivered four consecutive quarters of broadband subscriber improvement across Netherlands, Belgium, and UK, reflecting operational turnaround. However, the core service offering (broadband, TV, phone) remains unchanged. AI Deployment (1/2): CEO Fries stated 'every company in both the growth and telecom portfolio is implementing AI solutions that are making them more efficient, faster, better, and more profitable,' and CTO Enrique Rodriguez oversees AI implementation across the organization [2]. The company applies AI for network optimization, customer experience, and energy management. However, no specific quantified savings or AI revenue figures were cited. Market Share (1/2): Liberty Global holds meaningful broadband positions in the Netherlands (Ziggo), Belgium (Telenet), and UK (VMO2), serving millions of subscribers across these markets [1]. These are established, competitive positions but not category-leading or gaining share against fiber overbuilders. Product Pipeline (0/2): The Ziggo spin-off and VMO2 restructuring are corporate actions, not next-gen products. No specific new services with launch timelines and revenue visibility have been announced. R&amp;D Intensity (0/1): European cable operators do not invest in R&amp;D at levels comparable to technology companies. Liberty Global invests in network upgrades (DOCSIS 4.0, fiber) but this is capex, not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Liberty Global's mission — 'Connect people to the digital world and enable them to discover and experience its endless possibilities' — is clear but generic, interchangeable with any broadband provider globally [3]. It does not articulate a distinctive vision beyond the obvious function of a telecom company. Community Impact (1/2): Liberty Global is a founding member of the European Green Digital Coalition and participated in initiatives like 'Reducing Herbicides Solutions' using drone imagery and 5G networks [3]. The company publishes corporate responsibility reports. However, no specific charitable giving amounts or distinctive community investment programs were identified. Employee Retention (0/2): No specific employee retention, tenure, or turnover data was identified for Liberty Global's approximately 19,000-person workforce. The company's continuous restructuring (spin-offs, mergers, workforce changes) likely creates organizational uncertainty. Insider Buying (0/2): Net insider selling — Director Paul Gould sold $582K in stock in March 2026 and CFO Charles Bracken sold $724K in June 2026 [4]. CEO Fries received RSU and PSU grants as compensation but made no open-market purchases. No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with significant data limitations (Forward P/E, PEG, and 5-year revenue CAGR unavailable). D/E of 74% is just above the 70% target, scoring 0.98 — the balance sheet appears moderate at the corporate level though consolidated debt is substantial ($11.5B enterprise value vs. $3.55B market cap) [5]. Revenue growth of approximately 5% is positive but below the 10% target. ROE of -11.68% is negative, scoring 0, driven by non-cash charges and restructuring costs. Profit margin of -41.4% is deeply negative, also scoring 0 — the GAAP losses include impairments and one-time items that obscure the underlying cash generation ($169.7M free cash flow, $1.37B operating cash flow). The stock trades at a massive discount to book value ($10.29 vs. $37.74 per share), but the Altman Z-Score of 0.85 indicates elevated financial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Liberty Global under CEO Michael Fries operates as a financial engineering vehicle rather than a purpose-driven telecom operator. The strategy centers on M&amp;A restructuring (spin-offs, mergers, joint ventures), aggressive leveraged share buybacks (7.65% buyback yield), and portfolio optimization — all classic finite-game tactics focused on maximizing shareholder returns in each period. The constant corporate restructuring — Sunrise spin-off, VMO2 JV, Telenet integration, Ziggo spin-off — signals a company managed as a collection of financial assets rather than an enduring organization with a cause beyond returns.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Liberty Global's stated mission to 'connect people to the digital world' is marketing boilerplate — it does not shape strategic decisions, which are driven by financial engineering: M&amp;A arbitrage, leveraged buybacks, and corporate restructuring [3]. CEO Fries' 21-year tenure has been characterized by deal-making rather than purpose-driven leadership. The company's own strategy description emphasizes 'superior organic growth, opportunistic M&amp;A activity, and equity returns through appropriate leverage and share buy-backs.' This is a financial holding company articulating a financial holding company's purpose — there is no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Liberty Global's continuous restructuring — spinning off operating companies, integrating acquisitions, forming joint ventures — creates structural organizational instability across a 19,000-person workforce spread across multiple countries [1]. Employees in Ziggo face a pending spin-off, VMO2 staff operate in a JV with uncertain governance, and Telenet was recently taken private and restructured. No employee satisfaction, retention, or cultural data was identified. Continuous M&amp;A activity is the antithesis of the psychological safety Sinek describes.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Liberty Global's competitive communication focuses on market positioning, subscriber metrics, and EBITDA margins rather than learning from competitors' strengths. No evidence of management acknowledging European broadband peers (Deutsche Telekom, KPN, Proximus) as worthy rivals whose strengths inspire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Liberty Global has repeatedly reshaped its corporate portfolio — the VMO2 JV combined Virgin Media with O2 in the UK, the Sunrise spin-off exited Switzerland, the Telenet take-private consolidated Belgium, and the planned Ziggo spin-off will separate the Netherlands [1]. These demonstrate willingness to dramatically reshape the company. However, the pivots are financially motivated (arbitrage, leverage optimization, portfolio simplification) rather than driven by a Just Cause. The business model — providing broadband/TV/phone over cable infrastructure — has not fundamentally changed.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Liberty Global's capital allocation is dominated by financial engineering — $3.3B in cumulative buybacks at a 7.65% yield while the stock trades at a 73% discount to book value ($10.29 vs. $37.74) [5]. While buybacks at this discount create value, they represent financial optimization, not courageous long-term capability investment. No evidence of management sacrificing near-term financial results to invest in long-term infrastructure, content, or service innovation. The company optimizes for quarterly financial metrics, not enduring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Liberty Global at $10.29 trades at a 73% discount to book value of $37.74/share, representing one of the deepest NAV discounts in the European telecom sector [5]. The company generates $1.37B in operating cash flow and $169.7M in free cash flow on $4.77B in revenue, and the 7.65% buyback yield aggressively reduces shares outstanding at depressed prices. Q1 2026 revenue grew 8.8% YoY with four consecutive quarters of broadband subscriber improvement across all major markets [1]. CEO Fries' aggressive financial engineering — Ziggo spin-off, VMO2 restructuring, portfolio simplification — could unlock the massive gap between trading price and asset value. The European broadband infrastructure these assets represent has replacement value far exceeding the current market cap.</w:t>
      </w:r>
    </w:p>
    <w:p>
      <w:pPr>
        <w:spacing w:after="120"/>
      </w:pPr>
      <w:r>
        <w:rPr>
          <w:rFonts w:ascii="Calibri" w:hAnsi="Calibri"/>
          <w:b w:val="0"/>
          <w:color w:val="3A4A28"/>
          <w:sz w:val="20"/>
        </w:rPr>
        <w:t>The bear case is that the NAV discount is warranted and may persist indefinitely. GAAP net losses ($357.8M in Q2 2026 alone) and -41.4% profit margins reflect a company that destroys value on a reported basis despite positive operating cash flow [1]. ROE of -11.68% and an Altman Z-Score of 0.85 indicate financial distress risk in a company with $11.5B in enterprise value against a $3.55B market cap — the leverage magnifies both upside and downside. Q2 2026 earnings and revenue both missed estimates significantly (EPS -$1.07 vs. -$0.49 expected, revenue missed by $215.6M), eroding credibility in the turnaround narrative. The Ziggo spin-off adds execution risk and further corporate complexity. Net insider selling by the CFO ($724K) and a director ($582K) in 2026, with no insider purchases, signals that management is not putting personal capital at risk alongside shareholders [4]. The telecom sector in Europe faces structural headwinds from regulatory price caps, fiber overbuilding, and cord-cutting that limit organic growth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Ziggo spin-off completion could unlock NAV by creating a pure-play Dutch broadband operator with clearer valuation metrics, narrowing the 73% discount to book value [1]</w:t>
      </w:r>
    </w:p>
    <w:p>
      <w:pPr>
        <w:spacing w:before="40" w:after="40"/>
        <w:ind w:left="283"/>
      </w:pPr>
      <w:r>
        <w:rPr>
          <w:rFonts w:ascii="Calibri" w:hAnsi="Calibri"/>
          <w:b/>
          <w:color w:val="4A6B25"/>
          <w:sz w:val="20"/>
        </w:rPr>
        <w:t xml:space="preserve">2. </w:t>
      </w:r>
      <w:r>
        <w:rPr>
          <w:rFonts w:ascii="Calibri" w:hAnsi="Calibri"/>
          <w:b w:val="0"/>
          <w:color w:val="3A4A28"/>
          <w:sz w:val="20"/>
        </w:rPr>
        <w:t>Continued broadband subscriber improvement for a fifth consecutive quarter would validate the operational turnaround and support the case for re-rating European cable assets [1]</w:t>
      </w:r>
    </w:p>
    <w:p>
      <w:pPr>
        <w:spacing w:before="40" w:after="40"/>
        <w:ind w:left="283"/>
      </w:pPr>
      <w:r>
        <w:rPr>
          <w:rFonts w:ascii="Calibri" w:hAnsi="Calibri"/>
          <w:b/>
          <w:color w:val="4A6B25"/>
          <w:sz w:val="20"/>
        </w:rPr>
        <w:t xml:space="preserve">3. </w:t>
      </w:r>
      <w:r>
        <w:rPr>
          <w:rFonts w:ascii="Calibri" w:hAnsi="Calibri"/>
          <w:b w:val="0"/>
          <w:color w:val="3A4A28"/>
          <w:sz w:val="20"/>
        </w:rPr>
        <w:t>AI-driven cost efficiencies across all portfolio companies — CEO Fries views AI as 'turbo-charging productivity' in network operations, customer service, and energy management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losses ($357.8M in Q2 2026) and -41.4% profit margin driven by impairments, restructuring, and leverage costs — the company may continue destroying book value despite positive cash flow [1][5]</w:t>
      </w:r>
    </w:p>
    <w:p>
      <w:pPr>
        <w:spacing w:before="40" w:after="40"/>
        <w:ind w:left="283"/>
      </w:pPr>
      <w:r>
        <w:rPr>
          <w:rFonts w:ascii="Calibri" w:hAnsi="Calibri"/>
          <w:b/>
          <w:color w:val="4A6B25"/>
          <w:sz w:val="20"/>
        </w:rPr>
        <w:t xml:space="preserve">2. </w:t>
      </w:r>
      <w:r>
        <w:rPr>
          <w:rFonts w:ascii="Calibri" w:hAnsi="Calibri"/>
          <w:b w:val="0"/>
          <w:color w:val="3A4A28"/>
          <w:sz w:val="20"/>
        </w:rPr>
        <w:t>European telecom regulatory environment including price caps, infrastructure sharing mandates, and fiber overbuilding by competitors (KPN, Proximus, BT) compresses margins and limits organic growth potential</w:t>
      </w:r>
    </w:p>
    <w:p>
      <w:pPr>
        <w:spacing w:before="40" w:after="40"/>
        <w:ind w:left="283"/>
      </w:pPr>
      <w:r>
        <w:rPr>
          <w:rFonts w:ascii="Calibri" w:hAnsi="Calibri"/>
          <w:b/>
          <w:color w:val="4A6B25"/>
          <w:sz w:val="20"/>
        </w:rPr>
        <w:t xml:space="preserve">3. </w:t>
      </w:r>
      <w:r>
        <w:rPr>
          <w:rFonts w:ascii="Calibri" w:hAnsi="Calibri"/>
          <w:b w:val="0"/>
          <w:color w:val="3A4A28"/>
          <w:sz w:val="20"/>
        </w:rPr>
        <w:t>Corporate complexity risk: managing Ziggo spin-off, VMO2 JV governance with Telefonica, and Telenet integration simultaneously creates execution risk and makes the equity story difficult for investors to underwrite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Liberty Global's core asset is physical telecommunications infrastructure — fiber networks, cable plants, spectrum licenses, and data centers — that AI structurally cannot displace. Consumers and businesses will continue requiring physical broadband connectivity regardless of AI advances, and AI workloads may increase demand for bandwidth [2]. However, the service layer faces AI-driven efficiency pressure: AI chatbots are reducing call center staffing needs, AI-powered network optimization reduces engineering headcount, and AI-enabled content recommendation could reshape the video/entertainment value chain. CEO Fries views AI as a net benefit, stating it is 'downright irresponsible not to harbor big AI ambitions' for telcos, but the company's exposure to cord-cutting and digital disruption in video services provides some risk. AI Opportunity (0/1): Liberty Global deploys AI internally for network optimization, energy management, and customer experience but generates no quantifiable revenue from AI products or services [2]. The AI deployment is for cost efficiency, not revenue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Liberty Global Q1 and Q2 2026 Earnings Releases — Revenue, Subscriber Metrics, EBITDA, and Guidance Confirmation, 2026</w:t>
      </w:r>
    </w:p>
    <w:p>
      <w:pPr>
        <w:spacing w:before="20" w:after="20"/>
        <w:ind w:left="170"/>
      </w:pPr>
      <w:r>
        <w:rPr>
          <w:rFonts w:ascii="Calibri" w:hAnsi="Calibri"/>
          <w:b/>
          <w:color w:val="4A6B25"/>
          <w:sz w:val="15"/>
        </w:rPr>
        <w:t xml:space="preserve">2. </w:t>
      </w:r>
      <w:r>
        <w:rPr>
          <w:rFonts w:ascii="Calibri" w:hAnsi="Calibri"/>
          <w:b w:val="0"/>
          <w:color w:val="3A4A28"/>
          <w:sz w:val="17"/>
        </w:rPr>
        <w:t>Liberty Global AI Strategy — CEO Michael Fries Diginomica Interview and Q2 2026 Earnings Slides on AI Deployment, 2026</w:t>
      </w:r>
    </w:p>
    <w:p>
      <w:pPr>
        <w:spacing w:before="20" w:after="20"/>
        <w:ind w:left="170"/>
      </w:pPr>
      <w:r>
        <w:rPr>
          <w:rFonts w:ascii="Calibri" w:hAnsi="Calibri"/>
          <w:b/>
          <w:color w:val="4A6B25"/>
          <w:sz w:val="15"/>
        </w:rPr>
        <w:t xml:space="preserve">3. </w:t>
      </w:r>
      <w:r>
        <w:rPr>
          <w:rFonts w:ascii="Calibri" w:hAnsi="Calibri"/>
          <w:b w:val="0"/>
          <w:color w:val="3A4A28"/>
          <w:sz w:val="17"/>
        </w:rPr>
        <w:t>Liberty Global Mission Statement and Corporate Responsibility — Comparably and European Green Digital Coalition,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Liberty Global Insider Trading Activity — SEC Form 4 Filings, Director and CFO Sales, March-June 2026</w:t>
      </w:r>
    </w:p>
    <w:p>
      <w:pPr>
        <w:spacing w:before="20" w:after="20"/>
        <w:ind w:left="170"/>
      </w:pPr>
      <w:r>
        <w:rPr>
          <w:rFonts w:ascii="Calibri" w:hAnsi="Calibri"/>
          <w:b/>
          <w:color w:val="4A6B25"/>
          <w:sz w:val="15"/>
        </w:rPr>
        <w:t xml:space="preserve">5. </w:t>
      </w:r>
      <w:r>
        <w:rPr>
          <w:rFonts w:ascii="Calibri" w:hAnsi="Calibri"/>
          <w:b w:val="0"/>
          <w:color w:val="3A4A28"/>
          <w:sz w:val="17"/>
        </w:rPr>
        <w:t>Stock Analysis — LBTYK Key Statistics, Valuation Ratios,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