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LXEO</w:t>
      </w:r>
      <w:r>
        <w:rPr>
          <w:rFonts w:ascii="Calibri" w:hAnsi="Calibri"/>
          <w:b/>
          <w:color w:val="1A2010"/>
          <w:sz w:val="40"/>
        </w:rPr>
        <w:t xml:space="preserve">  Lexeo Therapeutics, Inc.</w:t>
      </w:r>
    </w:p>
    <w:p>
      <w:pPr>
        <w:spacing w:after="120"/>
      </w:pPr>
      <w:r>
        <w:rPr>
          <w:rFonts w:ascii="Calibri" w:hAnsi="Calibri"/>
          <w:b/>
          <w:color w:val="6E8450"/>
          <w:sz w:val="18"/>
        </w:rPr>
        <w:t>GROWTH SLEEVE · 2026-08-09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Gene Therapy · NASDAQ · United States</w:t>
      </w:r>
    </w:p>
    <w:p>
      <w:pPr>
        <w:spacing w:after="80"/>
      </w:pPr>
      <w:r>
        <w:rPr>
          <w:rFonts w:ascii="Calibri" w:hAnsi="Calibri"/>
          <w:b w:val="0"/>
          <w:color w:val="3A4A28"/>
          <w:sz w:val="20"/>
        </w:rPr>
        <w:t>Lexeo Therapeutics is a clinical-stage genetic medicine company developing gene therapy candidates targeting the underlying genetic causes of cardiovascular and other devastating diseases. Spun out of Weill Cornell Medicine, the company's lead programs include LX2006 for Friedreich ataxia and LX2020 for PKP2 arrhythmogenic cardiomyopathy. Headquartered in New York City, Lexeo went public on NASDAQ in November 2023.</w:t>
      </w:r>
    </w:p>
    <w:p>
      <w:r>
        <w:rPr>
          <w:rFonts w:ascii="Calibri" w:hAnsi="Calibri"/>
          <w:b/>
          <w:color w:val="6E8450"/>
          <w:sz w:val="18"/>
        </w:rPr>
        <w:t>120 Employees · https://www.lexeotx.com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Lexeo has advanced from Weill Cornell Medicine spinout to a clinical-stage company with multiple active programs, successfully submitting the final registrational trial design and statistical analysis plan for the SUNRISE-FA 2 pivotal study to the FDA following a Type B meeting in February 2026 [1]. The transition from academic research to clinical development with regulatory engagement represents meaningful scientific execution. AI Deployment (0/2): No evidence of AI-powered products or quantified AI-driven R&amp;D savings. Market Share (0/2): Pre-revenue clinical-stage company with no commercial products and no market share to evaluate; the company is pursuing indications with high unmet need where no gene therapy competition exists. Product Pipeline (2/2): Specific next-generation programs with regulatory milestones — LX2006 for Friedreich ataxia is in pivotal trial design (SUNRISE-FA 2 SAP submitted to FDA), LX2020 for PKP2 arrhythmogenic cardiomyopathy is in clinical development, and the company has a strategic partnership for novel cardiac RNA therapeutics providing additional pipeline depth [1][2]. R&amp;D Intensity (1/1): As a clinical-stage biotech, essentially 100% of Lexeo's spending is R&amp;D-directed, well above any industry benchmark; Q1 2026 R&amp;D expense was the dominant cost component driving the $20.2M net loss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Lexeo's purpose of developing gene therapies for 'devastating diseases with high unmet need' is clear and connects to a meaningful larger purpose — treating otherwise untreatable genetic conditions that cause suffering and premature death [3]. However, this framing is common among clinical-stage biotechs and is not deeply distinctive; the mission does not differentiate Lexeo from dozens of peer gene therapy companies. Community Impact (0/2): No evidence of specific charitable programs, foundations, or community investment beyond the inherent social value of developing rare disease treatments. Employee Retention (0/2): The company offers a hybrid work model (2 days NYC office, 3 remote) and has a VP of People Experience, but no specific retention data, tenure information, or employee sentiment data is publicly available for this small-team startup [2]. Insider Buying (0/2): Recent insider activity shows net selling — CEO R. Nolan Townsend sold 25,947 shares to cover RSU tax obligations, and CFO also sold shares for tax coverage [4].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pre-revenue clinical-stage biotech with no product sales. Cash and investments of $227.6M as of March 31, 2026, provide operational runway into 2028 [1]. The company reported a net loss of $20.2M ($0.25/share) in Q1 2026, improved from $32.7M loss in Q1 2025 due to reduced operating expenses [1]. Balance sheet is clean with minimal debt (D/E near 0%), scoring well on leverage. However, ROE is deeply negative (~-32% annualized), there is zero revenue (no margin or growth metrics calculable), and the stock trades at ~$4.41 with a market cap of ~$346M — valuation is entirely based on pipeline optionality rather than financial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Lexeo operates with a largely finite mindset typical of venture-backed clinical-stage biotechs. The company's purpose — treating devastating genetic diseases — is genuinely meaningful, but the organizational structure is built around binary clinical trial outcomes, FDA approval milestones, and cash runway management rather than enduring institutional capability. The company is too young and too small to have been tested through crisis or leadership transition, and its competitive strategy centers on speed-to-market rather than building capabilities that outlast any single program.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Lexeo's purpose of developing gene therapies for devastating diseases with high unmet need connects to a meaningful cause — curing genetic conditions that otherwise have no treatment [3]. However, this framing is standard across the biotech industry and does not constitute a deeply distinctive Just Cause in Sinek's framework. The mission has not been tested through adversity, leadership changes, or market cycles. The company exists to advance specific drug candidates to approval, which is closer to a time-bound mission than an enduring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Lexeo has invested in culture through a VP of People Experience, a hybrid work model, and commitment to being an 'exciting, diverse, and enriching work environment' [2]. The small team (~120 employees) and scientific mission likely create strong internal cohesion among those who stay. However, no specific retention data, employee survey results, or evidence of exceptional trust practices are publicly available, and the company is too small and young for meaningful organizational culture data to exist.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Lexeo's leadership acknowledging competitors' strengths or framing competition as an opportunity to improve. The company's public communications focus on its unique scientific platform and the unmet need in its target indications, positioning itself as a pioneer rather than engaging with the competitive landscape of gene therapy peers like BioMarin, Sarepta, or uniQure.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Lexeo is a young clinical-stage company that has not faced a strategic test requiring transformative flexibility. The company has expanded from cardiovascular gene therapy into Friedreich ataxia, and added an RNA therapeutics partnership, which demonstrates modest strategic breadth but not a fundamental reinvention [1]. The company's identity and value are tightly coupled to its current pipeline — a failed pivotal trial could be existential, and it remains unclear whether the organization could pivot to an entirely new therapeutic modality.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gene therapy for rare diseases inherently requires courage — the clinical development timelines are long (5-10 years), failure rates are high (&gt;90% for biotech overall), and the capital requirements are enormous relative to the company's size [1]. CEO Townsend's decision to advance the SUNRISE-FA 2 pivotal trial design represents a significant bet. However, this is the standard biotech development model rather than an unusual sacrifice, and the company's reduced operating losses in Q1 2026 suggest prudent cost management rather than bold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Lexeo Therapeutics offers high-risk, high-reward optionality in gene therapy for cardiovascular genetic diseases with significant unmet need. The company's lead program LX2006 for Friedreich ataxia has reached a critical inflection point — the final registrational trial design (SUNRISE-FA 2) and statistical analysis plan were submitted to FDA following a Type B meeting in February 2026, de-risking the regulatory pathway [1]. The $227.6M cash position provides runway into 2028, eliminating near-term dilution concerns. LX2020 for PKP2 cardiomyopathy and a novel cardiac RNA therapeutics partnership provide additional pipeline shots on goal. If SUNRISE-FA 2 succeeds, the addressable patient population and pricing power in rare genetic disease could justify a multi-billion dollar valuation against the current ~$346M market cap.</w:t>
      </w:r>
    </w:p>
    <w:p>
      <w:pPr>
        <w:spacing w:after="120"/>
      </w:pPr>
      <w:r>
        <w:rPr>
          <w:rFonts w:ascii="Calibri" w:hAnsi="Calibri"/>
          <w:b w:val="0"/>
          <w:color w:val="3A4A28"/>
          <w:sz w:val="20"/>
        </w:rPr>
        <w:t>The bear case is binary clinical risk compounded by the inherent challenges of gene therapy manufacturing and commercialization. Lexeo has zero revenue and is burning ~$80M annually, making the stock entirely dependent on clinical data readouts that have a high historical failure rate [1]. The stock trades at ~$4.41, down significantly from its 2023 IPO, reflecting the market's skepticism about clinical-stage gene therapy companies. Gene therapy manufacturing at commercial scale remains an unsolved industry challenge — AAV vector production is expensive, capacity-constrained, and subject to potency variability. Insider selling (CEO and CFO disposing of shares for tax obligations) does not signal strong insider conviction [4]. Even a successful pivotal trial faces a long path to commercialization, and the small average daily volume of ~832K shares creates liquidity risk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SUNRISE-FA 2 pivotal trial initiation and enrollment progress for LX2006 in Friedreich ataxia, with FDA agreement on registrational design providing a clear regulatory pathway to potential approval</w:t>
      </w:r>
    </w:p>
    <w:p>
      <w:pPr>
        <w:spacing w:before="40" w:after="40"/>
        <w:ind w:left="283"/>
      </w:pPr>
      <w:r>
        <w:rPr>
          <w:rFonts w:ascii="Calibri" w:hAnsi="Calibri"/>
          <w:b/>
          <w:color w:val="4A6B25"/>
          <w:sz w:val="20"/>
        </w:rPr>
        <w:t xml:space="preserve">2. </w:t>
      </w:r>
      <w:r>
        <w:rPr>
          <w:rFonts w:ascii="Calibri" w:hAnsi="Calibri"/>
          <w:b w:val="0"/>
          <w:color w:val="3A4A28"/>
          <w:sz w:val="20"/>
        </w:rPr>
        <w:t>Clinical data readouts from LX2020 in PKP2 arrhythmogenic cardiomyopathy, which could validate the cardiovascular gene therapy platform and unlock pipeline value</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progress on novel cardiac RNA therapeutics, potentially diversifying the technology platform beyond AAV gene therapy and attracting a pharmaceutical partner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pivotal trial risk: SUNRISE-FA 2 failure would eliminate the primary source of value, and historical biotech pivotal trial success rates are below 50%, with gene therapy facing additional manufacturing and safety challenges</w:t>
      </w:r>
    </w:p>
    <w:p>
      <w:pPr>
        <w:spacing w:before="40" w:after="40"/>
        <w:ind w:left="283"/>
      </w:pPr>
      <w:r>
        <w:rPr>
          <w:rFonts w:ascii="Calibri" w:hAnsi="Calibri"/>
          <w:b/>
          <w:color w:val="4A6B25"/>
          <w:sz w:val="20"/>
        </w:rPr>
        <w:t xml:space="preserve">2. </w:t>
      </w:r>
      <w:r>
        <w:rPr>
          <w:rFonts w:ascii="Calibri" w:hAnsi="Calibri"/>
          <w:b w:val="0"/>
          <w:color w:val="3A4A28"/>
          <w:sz w:val="20"/>
        </w:rPr>
        <w:t>Cash runway into 2028 provides limited margin for trial delays, manufacturing issues, or clinical holds — any significant setback could force dilutive financing at depressed share prices</w:t>
      </w:r>
    </w:p>
    <w:p>
      <w:pPr>
        <w:spacing w:before="40" w:after="40"/>
        <w:ind w:left="283"/>
      </w:pPr>
      <w:r>
        <w:rPr>
          <w:rFonts w:ascii="Calibri" w:hAnsi="Calibri"/>
          <w:b/>
          <w:color w:val="4A6B25"/>
          <w:sz w:val="20"/>
        </w:rPr>
        <w:t xml:space="preserve">3. </w:t>
      </w:r>
      <w:r>
        <w:rPr>
          <w:rFonts w:ascii="Calibri" w:hAnsi="Calibri"/>
          <w:b w:val="0"/>
          <w:color w:val="3A4A28"/>
          <w:sz w:val="20"/>
        </w:rPr>
        <w:t>Gene therapy manufacturing scale-up risk: AAV vector production at commercial scale remains an industry-wide challenge, and Lexeo has not demonstrated commercial manufacturing capability for any of its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Lexeo's core business — developing AAV gene therapy vectors for cardiovascular genetic diseases — involves physical wet-lab research, viral vector manufacturing, clinical trial execution, and FDA regulatory navigation that AI cannot substitute [1][3]. Gene therapy manufacturing (AAV production, quality control, patient dosing) requires highly specialized biological processes and regulatory oversight that are structurally protected from AI disruption. However, AI tools are accelerating drug discovery across the biotech industry, potentially enabling competitors to design competing gene therapy candidates faster and reducing Lexeo's first-mover advantage window in indications like Friedreich ataxia. AI Opportunity (0/1): No evidence of AI-generated revenue; the company has not announced AI-powered drug discovery tools or quantified AI-driven R&amp;D efficiency gains, though the broader gene therapy field is beginning to adopt AI for vector design and manufacturing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Lexeo Therapeutics Q1 2026 Financial Results and Operational Highlights — ir.lexeotx.com / BioSpace, May 2026</w:t>
      </w:r>
    </w:p>
    <w:p>
      <w:pPr>
        <w:spacing w:before="20" w:after="20"/>
        <w:ind w:left="170"/>
      </w:pPr>
      <w:r>
        <w:rPr>
          <w:rFonts w:ascii="Calibri" w:hAnsi="Calibri"/>
          <w:b/>
          <w:color w:val="4A6B25"/>
          <w:sz w:val="15"/>
        </w:rPr>
        <w:t xml:space="preserve">2. </w:t>
      </w:r>
      <w:r>
        <w:rPr>
          <w:rFonts w:ascii="Calibri" w:hAnsi="Calibri"/>
          <w:b w:val="0"/>
          <w:color w:val="3A4A28"/>
          <w:sz w:val="17"/>
        </w:rPr>
        <w:t>Lexeo Therapeutics Leadership Appointments and Strategic Partnerships — ir.lexeotx.com, 2025-2026</w:t>
      </w:r>
    </w:p>
    <w:p>
      <w:pPr>
        <w:spacing w:before="20" w:after="20"/>
        <w:ind w:left="170"/>
      </w:pPr>
      <w:r>
        <w:rPr>
          <w:rFonts w:ascii="Calibri" w:hAnsi="Calibri"/>
          <w:b/>
          <w:color w:val="4A6B25"/>
          <w:sz w:val="15"/>
        </w:rPr>
        <w:t xml:space="preserve">3. </w:t>
      </w:r>
      <w:r>
        <w:rPr>
          <w:rFonts w:ascii="Calibri" w:hAnsi="Calibri"/>
          <w:b w:val="0"/>
          <w:color w:val="3A4A28"/>
          <w:sz w:val="17"/>
        </w:rPr>
        <w:t>Lexeo Therapeutics Company Website — lexeotx.com, Team, Careers, Pipeline,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Lexeo Therapeutics Insider Trading Activity — StockTitan / Nasdaq,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LXEO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