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MDT</w:t>
      </w:r>
      <w:r>
        <w:rPr>
          <w:rFonts w:ascii="Calibri" w:hAnsi="Calibri"/>
          <w:b/>
          <w:color w:val="1A2010"/>
          <w:sz w:val="40"/>
        </w:rPr>
        <w:t xml:space="preserve">  Medtronic plc</w:t>
      </w:r>
    </w:p>
    <w:p>
      <w:pPr>
        <w:spacing w:after="120"/>
      </w:pPr>
      <w:r>
        <w:rPr>
          <w:rFonts w:ascii="Calibri" w:hAnsi="Calibri"/>
          <w:b/>
          <w:color w:val="6E8450"/>
          <w:sz w:val="18"/>
        </w:rPr>
        <w:t>DIVIDEND SLEEVE · 2026-08-23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Ireland</w:t>
      </w:r>
    </w:p>
    <w:p>
      <w:pPr>
        <w:spacing w:after="80"/>
      </w:pPr>
      <w:r>
        <w:rPr>
          <w:rFonts w:ascii="Calibri" w:hAnsi="Calibri"/>
          <w:b w:val="0"/>
          <w:color w:val="3A4A28"/>
          <w:sz w:val="20"/>
        </w:rPr>
        <w:t>Medtronic plc is the world's largest medical device company, developing and manufacturing therapeutic medical devices across four segments: Cardiovascular, Medical Surgical, Neuroscience, and Diabetes. Products include cardiac pacemakers, defibrillators, surgical robotics (Hugo RAS), spinal implants, insulin pumps, and AI-powered diagnostic tools. Founded in 1949 in Minneapolis by Earl Bakken, operationally headquartered in Dublin, Ireland. FY2026 (ended April 2026) delivered the company's highest annual revenue growth in a decade at $36.4B (+8.4% YoY). FY2027 guidance: 6.75-7.25% organic revenue growth, EPS $5.90-$6.00. Market cap approximately $107 billion.</w:t>
      </w:r>
    </w:p>
    <w:p>
      <w:r>
        <w:rPr>
          <w:rFonts w:ascii="Calibri" w:hAnsi="Calibri"/>
          <w:b/>
          <w:color w:val="6E8450"/>
          <w:sz w:val="18"/>
        </w:rPr>
        <w:t>95,000 Employees · https://www.medtronic.com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Medtronic secured FDA clearance for Hugo robotic-assisted surgery for urologic procedures in December 2025, with first U.S. cases completed in Q3 FY2026 — a major entry into a market dominated by Intuitive Surgical [1][4]. Cardiac ablation solutions surged 78% globally and 124% in the U.S. in Q4 FY2026, demonstrating breakthrough execution in pulsed field ablation (PFA) technology [1]. FY2026 delivered the highest annual revenue growth in a decade at 8.4%. However, Medtronic has been a follower rather than first-mover in surgical robotics. AI Deployment (2/2): Medtronic appointed a dedicated Global Chief AI Officer (Rodolphe Katra) and established an AI Center of Excellence mandating every business unit to identify AI use cases [5]. AI-powered products shipping include ColonPRO (GI Genius) for polyp detection, AiBLE spine surgery ecosystem, AccuRhythm AI cardiac monitoring, and adaptive insulin pump algorithms. AI Compass ethical guidelines ensure responsible deployment [5]. Market Share (2/2): Global leader in cardiac rhythm management, spinal surgery, neuromodulation, and insulin pumps with operations in 150+ countries [1]. Cardiovascular segment grew 10.1% organically in Q4 FY2026. The installed base creates deep clinical relationships and switching costs. Product Pipeline (1/2): Hugo RAS expanding from urology into gynecology trials; next-generation PFA catheters; MiniMed 780G CGM platform; FY2027 organic growth guidance of 6.75-7.25% reflects pipeline confidence [1]. However, specific next-gen products with named launch dates and revenue visibility beyond the current cycle are limited. R&amp;D Intensity (1/1): R&amp;D spending of approximately $2.7B annually (~7.5% of revenue), focused on AI, data analytics, robotic-assisted surgery, and sensor innovation — above the medical device industry average [2][5].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Medtronic's mission — 'to alleviate pain, restore health, and extend life' — was articulated by founder Earl Bakken in 1960 and has guided the company through 66 years of medical device innovation [3]. The mission directly connects to patient outcomes and has survived multiple leadership transitions (Bakken, George, Collins, Ishrak, Martha). Under Geoff Martha, the 'Medtronic Mindset' promotes risk-taking, rapid execution, and ethical behavior [5]. However, the mission is more descriptive of what Medtronic does than aspirational about a future state of healthcare that does not yet exist. Community Impact (2/2): The Medtronic Foundation invests significantly in global health equity, with programs expanding access to cardiac and diabetes care in underserved markets [3]. Named one of the 2026 World's Most Ethical Companies by Ethisphere and recognized among 100 Best Corporate Citizens by 3BL [6]. Product Access and Affordability initiatives extend device availability to developing nations. The company published its FY2025 Impact Report documenting environmental and social commitments [3]. Employee Retention (0/2): No specific voluntary turnover, average tenure, or employee satisfaction data was identified for Medtronic. At approximately 95,000 employees across six continents, the organization is large and stable, but no retention metrics beyond headcount were publicly available. Insider Buying (0/2): No significant net insider buying identified in the trailing 12 months. Executive compensation is equity-heavy but no evidence of open-market purchases by CEO Martha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Medtronic delivered its strongest annual revenue growth in a decade — $36.4B in FY2026 revenue, up 8.4%, scoring 0.95 on YoY growth [1]. Forward P/E of 13.77x scores a perfect 1.0, reflecting attractive valuation below both the 20x target and the medical device industry median of 19x [7]. D/E of 58% scores 1.0, well within the 70% target [7]. Profit margin of 13.2% scores 0.66, above the medical device industry median but below the 20% target for higher-margin businesses. ROE of 9.84% scores 0.66, reflecting the capital-intensive nature of medical devices and substantial goodwill from the $50B Covidien acquisition [7]. The 5yr revenue CAGR of approximately 5% scores 0.67. The dividend profile is a core strength: 48 consecutive years of dividend increases scores 1.0 (2x weight), demonstrating exceptional capital return discipline as a Dividend Aristocrat [8]. The elevated payout ratio of 77% scores 0.38, the primary weakness, though FY2027 EPS guidance of $5.90-$6.00 suggests improving coverage. 5yr dividend growth CAGR of 4.13% scores 0.69 (2x weight). Liquidity floor cleared: 7.7M avg daily volume x $82 = $631M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Medtronic demonstrates meaningful infinite game characteristics rooted in Earl Bakken's 1960 mission of alleviating pain and extending life — a purpose that has survived 66 years and multiple leadership transitions. Under Geoff Martha, the company has shown existential flexibility by entering surgical robotics, deploying AI across product lines, and embracing the 'Medtronic Mindset' culture of innovation. However, activist investor pressure from Elliott Management, the tension between dividend aristocrat obligations and growth investment, and a mission that is more operational than visionary temper the infinite orientation. Medtronic plays to keep playing, but quarterly earnings expectations sometimes constrain the boldest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Medtronic's mission — 'to alleviate pain, restore health, and extend life' — was written by founder Earl Bakken in 1960 and remains the company's stated purpose 66 years later [3]. This is a genuine, patient-centered cause that has guided strategic decisions across multiple CEO transitions and through the transformative Covidien acquisition. The mission directly connects to measurable human impact — millions of patients worldwide depend on Medtronic devices for cardiac rhythm management, diabetes care, and pain relief. However, Sinek would note the mission describes what Medtronic does rather than articulating a vision of a future state of healthcare that does not yet exist, limiting the aspirational quality that distinguishes a true Just Cause from a deeply held operational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'Medtronic Mindset' culture initiative under Geoff Martha promotes risk-taking, rapid execution, inclusion, and ethical behavior [5]. Named one of the 2026 World's Most Ethical Companies by Ethisphere, suggesting genuine organizational values aligned with patient-centric purpose [6]. AI Compass ethical guidelines demonstrate institutional commitment to responsible innovation. However, Elliott Management's activist involvement and resulting restructuring created organizational disruption, and at 95,000 employees across six continents, trust dynamics inevitably vary by geography, segment, and business unit.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Medtronic explicitly acknowledges Intuitive Surgical's dominance in surgical robotics and has used that rivalry constructively — developing Hugo RAS not as a copycat but with differentiated positioning around cost-effectiveness, modular design, and open platform architecture [4]. Rather than attacking Intuitive directly, Medtronic focuses on expanding the total robotics market and bringing robotic-assisted surgery to procedures and geographies Intuitive hasn't reached. This 'grow the pie' mentality is textbook worthy rivalry in Sinek's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Medtronic has demonstrated meaningful strategic pivots — entering surgical robotics with Hugo despite being decades behind Intuitive, embracing AI and digital health as core strategic pillars with a dedicated Global Chief AI Officer, and the $50B Covidien acquisition that expanded into surgical tools and patient monitoring [4][5]. The company is evolving from a traditional device manufacturer into a technology-enabled healthcare platform. However, these pivots have been incremental rather than existential — the core business model of selling physical medical devices through hospital relationships remains unchanged, and the pace of transformation has been criticized as too slow.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Geoff Martha has made courageous decisions — investing billions in Hugo robotic surgery to challenge Intuitive Surgical's near-monopoly, maintaining $2.7B annual R&amp;D investment during periods of flat growth, and restructuring operations in response to Elliott Management's activist campaign while preserving the company's mission focus [2][4]. The 48-year dividend increase streak maintained through multiple market crises shows long-term commitment. However, the company's dividend aristocrat obligations and quarterly earnings expectations constrain truly bold capital allocation, and the transformation has been incremental rather than a bold leap.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Medtronic delivered its strongest fiscal year in a decade with FY2026 revenue of $36.4B (+8.4% YoY), demonstrating accelerating growth across all four segments [1]. The cardiovascular business was the standout, with cardiac ablation revenue surging 78% globally and 124% in the U.S. on PFA technology adoption, while Hugo robotic surgery secured FDA clearance and completed first U.S. cases [1][4]. At 13.8x forward earnings, MDT trades at a meaningful discount to both the S&amp;P 500 and the medical device industry median of 19x, offering an attractive entry point for a company guiding to 6.75-7.25% organic growth and $5.90-$6.00 EPS in FY2027 [1][7]. The 3.46% dividend yield, backed by 48 consecutive years of increases and a conservative 58% D/E balance sheet, provides reliable income while investors benefit from the growth reacceleration. The company's AI-powered product portfolio — ColonPRO, AiBLE, AccuRhythm AI — positions Medtronic as a technology-enabled healthcare platform [5].</w:t>
      </w:r>
    </w:p>
    <w:p>
      <w:pPr>
        <w:spacing w:after="120"/>
      </w:pPr>
      <w:r>
        <w:rPr>
          <w:rFonts w:ascii="Calibri" w:hAnsi="Calibri"/>
          <w:b w:val="0"/>
          <w:color w:val="3A4A28"/>
          <w:sz w:val="20"/>
        </w:rPr>
        <w:t>The primary concern is whether Medtronic's growth acceleration is sustainable and whether the valuation discount is warranted by structural challenges. The 77% payout ratio limits the company's ability to fund aggressive R&amp;D and M&amp;A simultaneously with dividend growth, creating tension between its Dividend Aristocrat identity and growth ambitions [7][8]. ROE of 9.84% remains below the 15% target, weighed down by $40B+ in goodwill from the Covidien acquisition that has yet to fully deliver on its strategic promise. Hugo robotic surgery, while promising, faces an entrenched competitor in Intuitive Surgical with over 9,000 installed systems versus Hugo's nascent base [4]. The GLP-1 pharmaceutical revolution poses a structural risk to procedure volumes in bariatric, cardiovascular, and diabetes segments representing meaningful portions of Medtronic's revenue. The 5yr dividend growth CAGR of 4.13% falls below the 6% target, and the 5yr revenue CAGR of 5% reflects historically tepid growth that the FY2026 acceleration has only begun to correct. The Inspire Impact Score of -49 (MISALIGNED) limits allocation for faith-based investors despite 16 positive ESG attributions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Hugo robotic-assisted surgery U.S. commercial ramp expanding from urology into gynecology and general surgery, potentially capturing share in a $7B+ global surgical robotics market as Medtronic differentiates on cost-effectiveness and modular design versus Intuitive Surgical's installed base [4]</w:t>
      </w:r>
    </w:p>
    <w:p>
      <w:pPr>
        <w:spacing w:before="40" w:after="40"/>
        <w:ind w:left="283"/>
      </w:pPr>
      <w:r>
        <w:rPr>
          <w:rFonts w:ascii="Calibri" w:hAnsi="Calibri"/>
          <w:b/>
          <w:color w:val="4A6B25"/>
          <w:sz w:val="20"/>
        </w:rPr>
        <w:t xml:space="preserve">2. </w:t>
      </w:r>
      <w:r>
        <w:rPr>
          <w:rFonts w:ascii="Calibri" w:hAnsi="Calibri"/>
          <w:b w:val="0"/>
          <w:color w:val="3A4A28"/>
          <w:sz w:val="20"/>
        </w:rPr>
        <w:t>Cardiac ablation PFA technology sustaining 70%+ growth rates as the platform expands indications and geographies, driving the cardiovascular segment toward sustained double-digit organic growth and potentially becoming Medtronic's largest growth engine [1]</w:t>
      </w:r>
    </w:p>
    <w:p>
      <w:pPr>
        <w:spacing w:before="40" w:after="40"/>
        <w:ind w:left="283"/>
      </w:pPr>
      <w:r>
        <w:rPr>
          <w:rFonts w:ascii="Calibri" w:hAnsi="Calibri"/>
          <w:b/>
          <w:color w:val="4A6B25"/>
          <w:sz w:val="20"/>
        </w:rPr>
        <w:t xml:space="preserve">3. </w:t>
      </w:r>
      <w:r>
        <w:rPr>
          <w:rFonts w:ascii="Calibri" w:hAnsi="Calibri"/>
          <w:b w:val="0"/>
          <w:color w:val="3A4A28"/>
          <w:sz w:val="20"/>
        </w:rPr>
        <w:t>FY2027 EPS guidance of $5.90-$6.00 implies significant earnings growth and improving payout ratio coverage, potentially driving multiple re-rating from the current 13.8x forward P/E toward the medical device peer average of 19-25x [1][7]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drug adoption (Ozempic, Mounjaro, and next-generation compounds) could structurally reduce procedure volumes in bariatric surgery, cardiovascular interventions, and diabetes device demand, compressing Medtronic's addressable market in segments representing a meaningful portion of total revenue [4]</w:t>
      </w:r>
    </w:p>
    <w:p>
      <w:pPr>
        <w:spacing w:before="40" w:after="40"/>
        <w:ind w:left="283"/>
      </w:pPr>
      <w:r>
        <w:rPr>
          <w:rFonts w:ascii="Calibri" w:hAnsi="Calibri"/>
          <w:b/>
          <w:color w:val="4A6B25"/>
          <w:sz w:val="20"/>
        </w:rPr>
        <w:t xml:space="preserve">2. </w:t>
      </w:r>
      <w:r>
        <w:rPr>
          <w:rFonts w:ascii="Calibri" w:hAnsi="Calibri"/>
          <w:b w:val="0"/>
          <w:color w:val="3A4A28"/>
          <w:sz w:val="20"/>
        </w:rPr>
        <w:t>Elevated 77% dividend payout ratio constrains capital allocation flexibility — if earnings growth disappoints, maintaining the 48-year dividend increase streak may require reducing R&amp;D or M&amp;A investment, sacrificing long-term competitiveness for near-term distribution commitments [7][8]</w:t>
      </w:r>
    </w:p>
    <w:p>
      <w:pPr>
        <w:spacing w:before="40" w:after="40"/>
        <w:ind w:left="283"/>
      </w:pPr>
      <w:r>
        <w:rPr>
          <w:rFonts w:ascii="Calibri" w:hAnsi="Calibri"/>
          <w:b/>
          <w:color w:val="4A6B25"/>
          <w:sz w:val="20"/>
        </w:rPr>
        <w:t xml:space="preserve">3. </w:t>
      </w:r>
      <w:r>
        <w:rPr>
          <w:rFonts w:ascii="Calibri" w:hAnsi="Calibri"/>
          <w:b w:val="0"/>
          <w:color w:val="3A4A28"/>
          <w:sz w:val="20"/>
        </w:rPr>
        <w:t>Hugo robotic surgery faces Intuitive Surgical's massive installed base advantage (9,000+ systems), established surgeon training ecosystem, and network effects — Medtronic must demonstrate differentiated clinical outcomes and cost advantages to gain meaningful share in a winner-take-most market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Medtronic's core business — implantable cardiac devices, spinal hardware, surgical robotics, and insulin pumps — consists of physical, FDA-regulated products that cannot be replaced by software or AI models [5]. The regulatory moat is formidable: FDA 510(k) and PMA approval processes take years and cost hundreds of millions, creating barriers no AI startup can circumvent. Manufacturing complexity (cleanroom production, biocompatible materials, sterilization) and clinical relationships with surgeons create deep switching costs [1]. AI may even increase demand for smarter medical devices. However, AI-powered diagnostics could potentially displace some monitoring and detection devices over time, and pharmaceutical disruption (GLP-1 drugs reducing bariatric and cardiovascular procedure volumes) represents a technology-adjacent risk [4]. AI Opportunity (1/1): Medtronic is actively deploying AI as a competitive advantage. ColonPRO (GI Genius) is the first FDA-cleared AI-powered endoscopy tool, AiBLE uses AI for spine surgery planning, AccuRhythm AI enhances cardiac monitoring, and Hugo RAS incorporates AI-assisted surgical planning [5]. The company's proprietary clinical data from millions of implanted devices creates a flywheel — better data leads to better AI models, making devices more indispensable to clinicians. A dedicated Global Chief AI Officer oversees the enterprise AI Center of Excellence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Medtronic Q4 and Full Year FY2026 Earnings Release — $36.4B revenue (+8.4%), Q4 revenue $9.8B (+9.9%), cardiac ablation +78% globally, FY2027 guidance 6.75-7.25% organic growth and $5.90-$6.00 EPS, June 3, 2026</w:t>
      </w:r>
    </w:p>
    <w:p>
      <w:pPr>
        <w:spacing w:before="20" w:after="20"/>
        <w:ind w:left="170"/>
      </w:pPr>
      <w:r>
        <w:rPr>
          <w:rFonts w:ascii="Calibri" w:hAnsi="Calibri"/>
          <w:b/>
          <w:color w:val="4A6B25"/>
          <w:sz w:val="15"/>
        </w:rPr>
        <w:t xml:space="preserve">2. </w:t>
      </w:r>
      <w:r>
        <w:rPr>
          <w:rFonts w:ascii="Calibri" w:hAnsi="Calibri"/>
          <w:b w:val="0"/>
          <w:color w:val="3A4A28"/>
          <w:sz w:val="17"/>
        </w:rPr>
        <w:t>Medtronic R&amp;D and Innovation — $2.7B annual R&amp;D investment, AI Center of Excellence, ColonPRO, AiBLE, Hugo RAS, CIO Rashmi Kumar AI/robotics strategy, 2025-2026</w:t>
      </w:r>
    </w:p>
    <w:p>
      <w:pPr>
        <w:spacing w:before="20" w:after="20"/>
        <w:ind w:left="170"/>
      </w:pPr>
      <w:r>
        <w:rPr>
          <w:rFonts w:ascii="Calibri" w:hAnsi="Calibri"/>
          <w:b/>
          <w:color w:val="4A6B25"/>
          <w:sz w:val="15"/>
        </w:rPr>
        <w:t xml:space="preserve">3. </w:t>
      </w:r>
      <w:r>
        <w:rPr>
          <w:rFonts w:ascii="Calibri" w:hAnsi="Calibri"/>
          <w:b w:val="0"/>
          <w:color w:val="3A4A28"/>
          <w:sz w:val="17"/>
        </w:rPr>
        <w:t>Medtronic Mission and ESG — Earl Bakken 1960 mission, FY2025 Impact Report, sustainability commitments, global health equity programs, Eglobalis culture analysis, 2026</w:t>
      </w:r>
    </w:p>
    <w:p>
      <w:pPr>
        <w:spacing w:before="20" w:after="20"/>
        <w:ind w:left="170"/>
      </w:pPr>
      <w:r>
        <w:rPr>
          <w:rFonts w:ascii="Calibri" w:hAnsi="Calibri"/>
          <w:b/>
          <w:color w:val="4A6B25"/>
          <w:sz w:val="15"/>
        </w:rPr>
        <w:t xml:space="preserve">4. </w:t>
      </w:r>
      <w:r>
        <w:rPr>
          <w:rFonts w:ascii="Calibri" w:hAnsi="Calibri"/>
          <w:b w:val="0"/>
          <w:color w:val="3A4A28"/>
          <w:sz w:val="17"/>
        </w:rPr>
        <w:t>Medtronic Strategy — Hugo RAS FDA clearance, PFA cardiac ablation breakthrough, Covidien acquisition legacy, GLP-1 competitive risk, Elliott Management restructuring, 2025-2026</w:t>
      </w:r>
    </w:p>
    <w:p>
      <w:pPr>
        <w:spacing w:before="20" w:after="20"/>
        <w:ind w:left="170"/>
      </w:pPr>
      <w:r>
        <w:rPr>
          <w:rFonts w:ascii="Calibri" w:hAnsi="Calibri"/>
          <w:b/>
          <w:color w:val="4A6B25"/>
          <w:sz w:val="15"/>
        </w:rPr>
        <w:t xml:space="preserve">5. </w:t>
      </w:r>
      <w:r>
        <w:rPr>
          <w:rFonts w:ascii="Calibri" w:hAnsi="Calibri"/>
          <w:b w:val="0"/>
          <w:color w:val="3A4A28"/>
          <w:sz w:val="17"/>
        </w:rPr>
        <w:t>Medtronic AI Strategy — Global Chief AI Officer Rodolphe Katra, AccuRhythm AI, AI Compass ethical guidelines, ColonPRO (GI Genius), AiBLE ecosystem, Klover.ai analysis, DeviceTalks, 2026</w:t>
      </w:r>
    </w:p>
    <w:p>
      <w:pPr>
        <w:spacing w:before="20" w:after="20"/>
        <w:ind w:left="170"/>
      </w:pPr>
      <w:r>
        <w:rPr>
          <w:rFonts w:ascii="Calibri" w:hAnsi="Calibri"/>
          <w:b/>
          <w:color w:val="4A6B25"/>
          <w:sz w:val="15"/>
        </w:rPr>
        <w:t xml:space="preserve">6. </w:t>
      </w:r>
      <w:r>
        <w:rPr>
          <w:rFonts w:ascii="Calibri" w:hAnsi="Calibri"/>
          <w:b w:val="0"/>
          <w:color w:val="3A4A28"/>
          <w:sz w:val="17"/>
        </w:rPr>
        <w:t>Ethisphere/3BL — 2026 World's Most Ethical Companies Recognition, 100 Best Corporate Citizens Ranking,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Yahoo Finance, Investing.com — MDT Key Statistics: Forward P/E 13.77x, PEG 2.60, D/E 58%, ROE 9.84%, Profit Margin 13.2%, Dividend Yield 3.46%, Stock Price ~$82,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Medtronic Dividend History — 48 consecutive years of dividend increases, Dividend Aristocrat, 5yr dividend growth CAGR 4.13%, $2.84 annual dividend, SureDividend/StockAnalysis,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