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MGY</w:t>
      </w:r>
      <w:r>
        <w:rPr>
          <w:rFonts w:ascii="Calibri" w:hAnsi="Calibri"/>
          <w:b/>
          <w:color w:val="1A2010"/>
          <w:sz w:val="40"/>
        </w:rPr>
        <w:t xml:space="preserve">  Magnolia Oil &amp; Gas Corp</w:t>
      </w:r>
    </w:p>
    <w:p>
      <w:pPr>
        <w:spacing w:after="120"/>
      </w:pPr>
      <w:r>
        <w:rPr>
          <w:rFonts w:ascii="Calibri" w:hAnsi="Calibri"/>
          <w:b/>
          <w:color w:val="6E8450"/>
          <w:sz w:val="18"/>
        </w:rPr>
        <w:t>DIVIDEND SLEEVE · 2026-09-03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Magnolia Oil &amp; Gas is a Houston-based independent oil and natural gas company with operations concentrated in the Giddings area (Austin Chalk / Eagle Ford) and Karnes County in South Texas. Founded in 2018 by Steve Chazen (former Occidental Petroleum CEO), now led by CEO Christopher Stavros (CEO since September 2022, Chairman since July 2025). The company is built on a disciplined capital allocation model with a low reinvestment rate. Q2 2026 revenue was $478.8M with diluted EPS of $0.97 (+137% YoY), production of 106,100 BOE/day (+8% YoY), and $235M in free cash flow. Pursuing a $4.06B WildFire Energy acquisition. Market cap approximately $6B.</w:t>
      </w:r>
    </w:p>
    <w:p>
      <w:r>
        <w:rPr>
          <w:rFonts w:ascii="Calibri" w:hAnsi="Calibri"/>
          <w:b/>
          <w:color w:val="6E8450"/>
          <w:sz w:val="18"/>
        </w:rPr>
        <w:t>100 Employees · https://www.magnoliaoilgas.com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Magnolia has successfully executed bolt-on acquisitions expanding core Giddings net acreage and transitioned to multi-well pad development improving capital efficiency, with Q2 2026 production reaching 106,100 BOE/day (+8% YoY) [1]. The pending $4.06B WildFire Energy acquisition would be transformative, roughly doubling the company's scale, but it has not yet closed and represents incremental E&amp;P acreage expansion rather than a business model transformation. AI Deployment (1/2): Magnolia is operationalizing its AI strategy with a formal governance framework, intake process, and policy requiring all AI initiatives to align with measurable ROI, business value, and operational efficiency improvements [2]. This represents structured AI exploration beyond lip service, but no specific AI-driven cost savings or revenue gains have been quantified publicly. Market Share (1/2): Magnolia is a meaningful mid-tier operator in the Austin Chalk / Eagle Ford with 106,100 BOE/day production and a growing Giddings acreage position, though it is not a category leader in U.S. E&amp;P [1]. Product Pipeline (1/2): Raised 2026 standalone production growth guidance to approximately 6% from 5% after strong Q2 results, with a defined two-rig activity plan and the pending $4.06B WildFire Energy acquisition providing specific visibility into growth trajectory [1]. R&amp;D Intensity (0/1): Standard E&amp;P operations with no differentiated R&amp;D spend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Magnolia's stated approach centers on disciplined capital allocation, maintaining a low reinvestment rate, and returning cash to shareholders — functional and clear but generic E&amp;P language without a distinctive purpose beyond shareholder returns [1]. The sustainability page addresses environmental and social practices but does not articulate a transformative mission. Community Impact (0/2): Magnolia has an ESG governance committee and publishes sustainability reports, but no specific charitable programs, foundation activities, or community investment with dollar amounts were identified [3]. Employee Retention (1/2): Lean organization of approximately 100 employees with stable leadership continuity — Christopher Stavros has served as CEO since September 2022 (promoted from CFO, having been with the company since its 2018 founding) and became Chairman in July 2025 [2]. This internal promotion and tenure suggests organizational stability. Insider Buying (0/2): No evidence of meaningful net insider buying by executives in the last 12 months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Magnolia clears the liquidity floor with daily dollar volume of approximately $95.7M (2.99M shares at $32) [4]. Exceptional profile across core metrics: D/E of 20% is far below the 70% target (near-zero leverage on a fortress balance sheet), ROE of 20.54% exceeds the 15% target, profit margin of 24.4% exceeds the 20% target, Forward P/E of 9.44x is well below the 20x target, and consensus revenue growth of 30% YoY far exceeds the 10% target [1][4]. Dividend metrics are strong with a low payout ratio of approximately 25% and rapid dividend growth, though the company's relatively short dividend payment history (approximately 7 years since inception) and consecutive growth streak of approximately 4 years score below targets of 10 years each (contributing 0.7 and 0.4 respectively with 2x and 1x weights). Infrastructure weighted sum of 10.8 against max of 12 yields a score of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Magnolia was founded on a distinctive infinite-game premise: that E&amp;P companies should live within cash flow, maintain low reinvestment rates, and return excess capital to shareholders rather than chasing production growth at all costs. This counter-model to shale industry boom-bust capital destruction has been consistently executed under both founder Steve Chazen and successor CEO Christopher Stavros since 2018. However, the pending $4.06B WildFire Energy acquisition represents a significant departure from the company's historically conservative bolt-on approach, testing whether the disciplined philosophy survives a transformative deal. The vision remains ultimately about financial discipline — essential and enduring, but not a transformative cause beyond shareholder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Magnolia's founding vision — that E&amp;P companies should live within cash flow, maintain reinvestment rates below 50% of operating cash flow, and prioritize returns over production growth — is a genuine, distinctive philosophy in an industry known for boom-bust capital destruction [1]. CEO Stavros has maintained this discipline since succeeding Chazen in 2022, raising the dividend 9% to $0.18/quarter while generating $235M in Q2 free cash flow. The cause is partially lived through consistent execution since 2018, but the $4.06B WildFire acquisition introduces tension with the conservative identity, and the vision is ultimately a financial discipline thesis rather than a vision of a better future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Lean organization of approximately 100 employees with stable leadership continuity. Stavros's promotion from CFO to CEO in 2022 (then Chairman in 2025) demonstrates internal talent development and succession planning [2]. The small, flat organizational structure suggests direct communication and empowerment, though no specific retention or culture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Magnolia frames its competitive positioning around its own capital discipline model rather than attacking specific competitors. Management acknowledges larger Permian operators' scale advantages and focuses on Magnolia's differentiated approach of low reinvestment and high shareholder returns [1]. The company uses peer comparisons to highlight operational efficiency rather than to claim market dominance, framing competition as motivation to improve capital allocation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Magnolia has strategically shifted operational focus from Karnes County to Giddings, raised production guidance from 5% to 6%, and now pursued the $4.06B WildFire Energy acquisition to significantly expand acreage and production scale [1]. The WildFire deal represents the largest strategic shift in company history, though it remains an incremental evolution within the same E&amp;P business model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Magnolia has consistently chosen capital discipline over production growth, keeping reinvestment below 50% of operating cash flow when peers drilled aggressively [1]. Under Stavros, the company raised production guidance to 6% while returning $80M to shareholders through dividends and buybacks in Q2 alone. The $4.06B WildFire Energy acquisition represents a significant strategic bet — roughly equal to the company's pre-announcement market cap — showing willingness to invest for long-term scale while maintaining balance sheet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Magnolia Oil &amp; Gas at 9.44x forward earnings with a 2.57% dividend yield, D/E of just 20%, and $235M quarterly free cash flow offers a compelling combination of deep value pricing and fortress balance sheet strength in E&amp;P [1][4]. Q2 2026 delivered $478.8M revenue with diluted EPS of $0.97 (+137% YoY) and production of 106,100 BOE/day (+8% YoY), prompting management to raise standalone production growth guidance to 6% [1]. The pending $4.06B WildFire Energy acquisition would roughly double the company's acreage and production base, creating a significantly larger platform for capital-efficient development. CEO Stavros's continuation of founder Chazen's disciplined capital allocation model — returning $80M through dividends and buybacks in Q2 alone while maintaining near-zero leverage — provides downside protection that most E&amp;P companies lack. AI data center buildout is structurally increasing energy demand, providing a secular tailwind for well-run producers. The Inspire Impact Score of 28 (ALIGNED) makes this suitable for faith-based portfolios.</w:t>
      </w:r>
    </w:p>
    <w:p>
      <w:pPr>
        <w:spacing w:after="120"/>
      </w:pPr>
      <w:r>
        <w:rPr>
          <w:rFonts w:ascii="Calibri" w:hAnsi="Calibri"/>
          <w:b w:val="0"/>
          <w:color w:val="3A4A28"/>
          <w:sz w:val="20"/>
        </w:rPr>
        <w:t>The bear case centers on commodity price exposure, acquisition integration risk, and limited growth ceiling. Magnolia is entirely unhedged, meaning revenue and earnings are fully exposed to oil price volatility — a sustained decline below $60/bbl would compress the 24.4% profit margin despite the low-cost structure [1]. The $4.06B WildFire acquisition represents a significant integration challenge and departure from the company's historically conservative bolt-on approach — execution risk is elevated, and financing terms could increase leverage meaningfully from the current fortress position. The PEG ratio of 3.23 suggests the market prices in limited long-term growth beyond the current production trajectory. The relatively short 7-year dividend payment history and 4-year growth streak provide less reliability than established dividend aristocrats. Revenue of ~$1.9B and ~100 employees make this a mid-cap E&amp;P with limited scale advantages versus larger Permian operators.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closing and integration of the $4.06B WildFire Energy acquisition, which would roughly double Magnolia's acreage and production base, creating a significantly larger platform for capital-efficient development and potentially re-rating the stock [1]</w:t>
      </w:r>
    </w:p>
    <w:p>
      <w:pPr>
        <w:spacing w:before="40" w:after="40"/>
        <w:ind w:left="283"/>
      </w:pPr>
      <w:r>
        <w:rPr>
          <w:rFonts w:ascii="Calibri" w:hAnsi="Calibri"/>
          <w:b/>
          <w:color w:val="4A6B25"/>
          <w:sz w:val="20"/>
        </w:rPr>
        <w:t xml:space="preserve">2. </w:t>
      </w:r>
      <w:r>
        <w:rPr>
          <w:rFonts w:ascii="Calibri" w:hAnsi="Calibri"/>
          <w:b w:val="0"/>
          <w:color w:val="3A4A28"/>
          <w:sz w:val="20"/>
        </w:rPr>
        <w:t>Continuation of strong production growth (Q2 at 106,100 BOE/day, +8% YoY) with raised guidance of 6% for 2026, combined with $235M quarterly free cash flow supporting the 2.57% dividend yield and share buyback program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and global electrification driving structural increases in energy demand, creating a secular tailwind for low-cost, unhedged oil producers with strong balance sheets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Entirely unhedged oil exposure means revenue and earnings are fully correlated with commodity prices — a sustained oil price decline below $60/bbl would compress margins despite the low-cost structure, and the $4.06B WildFire acquisition could increase vulnerability to commodity downturns [1]</w:t>
      </w:r>
    </w:p>
    <w:p>
      <w:pPr>
        <w:spacing w:before="40" w:after="40"/>
        <w:ind w:left="283"/>
      </w:pPr>
      <w:r>
        <w:rPr>
          <w:rFonts w:ascii="Calibri" w:hAnsi="Calibri"/>
          <w:b/>
          <w:color w:val="4A6B25"/>
          <w:sz w:val="20"/>
        </w:rPr>
        <w:t xml:space="preserve">2. </w:t>
      </w:r>
      <w:r>
        <w:rPr>
          <w:rFonts w:ascii="Calibri" w:hAnsi="Calibri"/>
          <w:b w:val="0"/>
          <w:color w:val="3A4A28"/>
          <w:sz w:val="20"/>
        </w:rPr>
        <w:t>$4.06B WildFire Energy acquisition represents significant execution and integration risk — roughly equal to the company's pre-announcement market cap — and could strain the fortress balance sheet identity if financing increases leverage meaningfully</w:t>
      </w:r>
    </w:p>
    <w:p>
      <w:pPr>
        <w:spacing w:before="40" w:after="40"/>
        <w:ind w:left="283"/>
      </w:pPr>
      <w:r>
        <w:rPr>
          <w:rFonts w:ascii="Calibri" w:hAnsi="Calibri"/>
          <w:b/>
          <w:color w:val="4A6B25"/>
          <w:sz w:val="20"/>
        </w:rPr>
        <w:t xml:space="preserve">3. </w:t>
      </w:r>
      <w:r>
        <w:rPr>
          <w:rFonts w:ascii="Calibri" w:hAnsi="Calibri"/>
          <w:b w:val="0"/>
          <w:color w:val="3A4A28"/>
          <w:sz w:val="20"/>
        </w:rPr>
        <w:t>PEG ratio of 3.23 suggests the market prices limited long-term earnings growth, and the company's 7-year dividend history lacks the multi-decade track record that income-oriented investors seek in core portfolio holdings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Magnolia's core business is physical oil and gas extraction from wells in the Giddings and Karnes areas of South Texas — an activity that AI structurally cannot displace [1]. Hydrocarbon production requires drilling, completion, and surface operations involving heavy machinery, geological expertise, and physical infrastructure that are immune to software substitution. The explosive growth of AI data centers is actually increasing global energy demand, creating a direct tailwind for oil and gas producers. No analysts have flagged AI as a risk to Magnolia's core business. AI Opportunity (0/1): No quantified AI revenue or AI-powered products shipping to customers. Magnolia is operationalizing an internal AI strategy for operational efficiency but does not generate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Magnolia Oil &amp; Gas Q2 2026 Earnings Release — Revenue $478.8M, EPS $0.97 (+137% YoY), Production 106,100 BOE/day (+8%), FCF $235M, Production Guidance Raised to 6%, Dividend Increased to $0.18/quarter — SEC 8-K, NASDAQ,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Magnolia Oil &amp; Gas Leadership and AI Strategy — CEO Christopher Stavros (since Sept 2022, Chairman July 2025), AI Governance Framework and Policy, WildFire Energy Acquisition — Craft.co, PRNewswire, Corporate Website, 2025-2026</w:t>
      </w:r>
    </w:p>
    <w:p>
      <w:pPr>
        <w:spacing w:before="20" w:after="20"/>
        <w:ind w:left="170"/>
      </w:pPr>
      <w:r>
        <w:rPr>
          <w:rFonts w:ascii="Calibri" w:hAnsi="Calibri"/>
          <w:b/>
          <w:color w:val="4A6B25"/>
          <w:sz w:val="15"/>
        </w:rPr>
        <w:t xml:space="preserve">3. </w:t>
      </w:r>
      <w:r>
        <w:rPr>
          <w:rFonts w:ascii="Calibri" w:hAnsi="Calibri"/>
          <w:b w:val="0"/>
          <w:color w:val="3A4A28"/>
          <w:sz w:val="17"/>
        </w:rPr>
        <w:t>Magnolia Oil &amp; Gas ESG and Sustainability — Governance Committee ESG Oversight, Sustainability Reporting, No Controversies Identified — SEC Filings, CSRHub, Corporate Website, 2022-2026</w:t>
      </w:r>
    </w:p>
    <w:p>
      <w:pPr>
        <w:spacing w:before="20" w:after="20"/>
        <w:ind w:left="170"/>
      </w:pPr>
      <w:r>
        <w:rPr>
          <w:rFonts w:ascii="Calibri" w:hAnsi="Calibri"/>
          <w:b/>
          <w:color w:val="4A6B25"/>
          <w:sz w:val="15"/>
        </w:rPr>
        <w:t xml:space="preserve">4. </w:t>
      </w:r>
      <w:r>
        <w:rPr>
          <w:rFonts w:ascii="Calibri" w:hAnsi="Calibri"/>
          <w:b w:val="0"/>
          <w:color w:val="3A4A28"/>
          <w:sz w:val="17"/>
        </w:rPr>
        <w:t>Magnolia Oil &amp; Gas Financial Statistics — Stock Price ~$32, Forward P/E 9.44, D/E 20%, ROE 20.54%, Profit Margin 24.4%, PEG 3.23, Dividend Yield 2.57%, Avg Volume 2.99M — StockAnalysis,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