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MPT</w:t>
      </w:r>
      <w:r>
        <w:rPr>
          <w:rFonts w:ascii="Calibri" w:hAnsi="Calibri"/>
          <w:b/>
          <w:color w:val="1A2010"/>
          <w:sz w:val="40"/>
        </w:rPr>
        <w:t xml:space="preserve">  Medical Properties Trust, Inc.</w:t>
      </w:r>
    </w:p>
    <w:p>
      <w:pPr>
        <w:spacing w:after="120"/>
      </w:pPr>
      <w:r>
        <w:rPr>
          <w:rFonts w:ascii="Calibri" w:hAnsi="Calibri"/>
          <w:b/>
          <w:color w:val="6E8450"/>
          <w:sz w:val="18"/>
        </w:rPr>
        <w:t>DIVIDEND SLEEVE · 2026-08-23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Medical Properties Trust, Inc. is a self-advised real estate investment trust (REIT) that acquires, develops, and invests in net-leased hospital facilities. Founded in 2003 and headquartered in Birmingham, Alabama, MPT is the world's largest pure-play hospital REIT, owning approximately 378 facilities with roughly 38,000 licensed beds across nine countries and three continents. The company changed its ticker from MPW to MPT effective February 2026. H1 2026 revenue totaled $511.3M with net income of $30.2M, swinging to profitability after the Steward Health Care crisis. Management executed a $2.4B refinancing eliminating all debt maturities through 2027. Market cap approximately $2.6B.</w:t>
      </w:r>
    </w:p>
    <w:p>
      <w:r>
        <w:rPr>
          <w:rFonts w:ascii="Calibri" w:hAnsi="Calibri"/>
          <w:b/>
          <w:color w:val="6E8450"/>
          <w:sz w:val="18"/>
        </w:rPr>
        <w:t>100 Employees · https://www.medicalpropertiestrust.com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MPT pioneered the hospital-only net-lease REIT model when founded in 2003, creating an entirely new asset class [1]. However, 2023-2026 has been dominated by crisis management following the Steward Health Care bankruptcy rather than genuine innovation. The $2.4B refinancing strategy eliminating all debt maturities through 2027 demonstrates financial engineering capability, and the Vibra Healthcare restructuring yielding a new 20-year master lease shows deal-structuring skill, but these are survival measures, not product innovation [2]. AI Deployment (0/2): As a small REIT with approximately 100 employees, MPT has no meaningful AI deployment. The net-lease hospital business model does not lend itself to AI-driven transformation. Market Share (2/2): MPT remains the world's largest pure-play hospital REIT with approximately 38,000 licensed beds across 378 facilities globally [1]. No other REIT focuses exclusively on hospital properties at this scale, giving MPT a unique market position despite portfolio contraction through $5.5B in asset sales [2]. Product Pipeline (1/2): Active pipeline of lease restructurings and operator transitions. Management targets $1B in annualized cash rent by year-end 2026, and has entered a new 15-year lease for California hospitals previously leased to Prospect, expected to stabilize at $45M annual rent [2]. R&amp;D Intensity (0/1): REITs do not conduct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MPT's stated purpose — 'At the Very Heart of Healthcare' — positions the company as essential infrastructure enabling hospital operations and community health [1]. The mission has been validated by 23 years of exclusive focus on hospital properties. However, the Steward Health Care debacle severely undermined this purpose: MPT's largest tenant collapsed with $9B in liabilities while operating hospitals serving vulnerable communities, with Massachusetts senators describing MPT's financing structure as having 'hallmarks of a Ponzi scheme' [3]. Community Impact (0/2): While MPT's hospitals serve communities, the company is a financial landlord. The Steward bankruptcy directly harmed patients and communities, with MPT settling $7.5B in Steward obligations. MPT's role in enabling Steward's overleveraged expansion drew criticism from healthcare advocates and legislators [3]. Employee Retention (1/2): CEO Ed Aldag has led MPT for 23 years since founding, demonstrating exceptional leadership continuity. The small team of approximately 100 employees has navigated the existential Steward crisis without reported leadership departures [4]. Insider Buying (1/2): Aldag's 109,433 shares withheld in early 2026 were for tax purposes on vesting equity, not discretionary sales. He maintains 6.80M shares ($30.4M) representing 1.14% of the company, demonstrating sustained alignment through the crisis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dividend-weighted metrics. MPT's financial profile reflects recovery from the Steward Health Care crisis. Debt-to-equity of 215% remains elevated but the $2.4B refinancing extending all maturities through 2027 reduces near-term risk [2]. ROE of -5.85% TTM reflects the FY2025 losses, though H1 2026 returned to profitability with $30.2M net income [5]. Revenue of $511.3M in H1 2026 represents modest improvement over the prior year period as replacement operators stabilize on restructured leases [5]. The 5-year revenue CAGR of approximately -5% reflects dramatic contraction from the $1.36B FY2021 peak as asset sales and tenant losses reduced the portfolio [6]. Profit margin of -12.48% TTM has improved substantially from -28.5% in FY2025 and -241.9% in FY2024, with H1 2026 showing positive 5.9% margin [5]. Forward P/E of approximately 40x reflects analyst expectations for modest earnings recovery. The dividend, while cut from $1.16 annually to $0.36, has been maintained for approximately 21 consecutive years and was recently increased from $0.08 to $0.09 quarterly [7]. Payout ratio of approximately 72% against normalized FFO provides adequate coverage. Liquidity floor easily cleared with approximately $34M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Medical Properties Trust demonstrates a paradoxical infinite game profile. The company has shown remarkable existential flexibility in surviving the Steward Health Care crisis — executing $5.5B in asset sales, restructuring tenant relationships, completing a $2.4B refinancing, and maintaining the company as a going concern through what could have been terminal. However, the Steward debacle itself raises questions about whether MPT's original growth strategy prioritized short-term portfolio expansion over sustainable tenant health, a fundamentally finite mindset. CEO Aldag's 23-year tenure shows conviction, but governance concerns raised by short sellers and the scale of tenant losses suggest insufficient oversight.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MPT's purpose of being 'At the Very Heart of Healthcare' by providing essential capital for hospital infrastructure is genuine and socially valuable [1]. The company created a new asset class serving a real need — hospitals often lack capital for facility investment. However, the Steward Health Care catastrophe severely undermined this Just Cause. MPT's largest tenant collapsed with $9B in liabilities, harming patients and communities, while investigations revealed MPT may have enabled Steward's unsustainable expansion through circular financing arrangements [3]. Massachusetts senators described the financing structure as having 'hallmarks of a Ponzi scheme.' A truly purpose-driven organization would have prioritized tenant health over portfolio growth.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MPT's small team of approximately 100 employees led by founder-CEO Ed Aldag for 23 years suggests a cohesive internal culture [4]. The executive team navigated the existential Steward crisis without reported internal dysfunction or leadership departures. However, the governance structure has drawn external criticism — Viceroy Research published 21 reports alleging insufficient board oversight of related-party transactions and tenant lending practices [3]. The small team size and founder-led structure can create an echo chamber limiting constructive dissent, relevant given that the Steward relationship grew to dangerous concentration without apparent internal challenge.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MPT operates as the only pure-play hospital REIT, which limits the Worthy Rivals dimension. Diversified healthcare REITs like Welltower, Ventas, and Healthpeak pursue different strategies (senior housing, life science, medical office) that MPT has not engaged with as learning opportunities. MPT's public communications emphasize its unique market position rather than acknowledging what competitors do better. The company's concentrated hospital exposure — which rivals avoided — proved to be the source of its near-death experience, yet management has not publicly acknowledged that competitors' diversification strategies offered meaningful risk management advantages.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MPT demonstrated extraordinary existential flexibility in responding to the Steward crisis. When its largest tenant filed for Chapter 11 with $9B in liabilities and $6.6B owed to MPT, the company executed a comprehensive portfolio transformation: $5.5B in asset sales, successful transition of 15 Steward hospitals to replacement operators, $2.4B refinancing eliminating all maturities through 2027, settlement forgiving $7.5B in Steward obligations, and restructuring agreements with Vibra Healthcare and Prospect Medical [2][3]. Management's willingness to dramatically shrink the portfolio to ensure survival — sacrificing size for sustainability — is textbook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Aldag demonstrated personal courage by remaining at the helm through MPT's most severe crisis rather than departing, maintaining public confidence when the stock fell below $4 and short sellers published damaging reports [3][4]. Management cut the dividend by over 70% to preserve capital and negotiated settlements rather than prolonging costly litigation. The $2.4B refinancing was executed from a position of weakness, requiring courage to negotiate with creditors [2]. However, the courage dimension is undermined by whether earlier courage — enforcing stricter tenant covenants, diversifying concentration risk — could have prevented the crisis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Medical Properties Trust is emerging from its darkest chapter with tangible signs of stabilization. H1 2026 marked a critical inflection: $511.3M revenue with $30.2M net income, returning to profitability after a $2.4B net loss in FY2024 and $277M loss in FY2025 [5]. The $2.4B refinancing eliminating all debt maturities through 2027 is a transformative de-risking event, giving management runway to stabilize the portfolio without near-term refinancing pressure [2]. The company has executed $5.5B in asset sales, successfully transitioned 15 Steward hospitals to replacement operators, and targets $1B in annualized cash rent by year-end 2026. At $4.40 per share with an 8.2% dividend yield (recently increased from $0.08 to $0.09 quarterly), significant discount to book value, and the worst operational crisis now behind it, MPT offers deep value for investors who believe the turnaround is real [7].</w:t>
      </w:r>
    </w:p>
    <w:p>
      <w:pPr>
        <w:spacing w:after="120"/>
      </w:pPr>
      <w:r>
        <w:rPr>
          <w:rFonts w:ascii="Calibri" w:hAnsi="Calibri"/>
          <w:b w:val="0"/>
          <w:color w:val="3A4A28"/>
          <w:sz w:val="20"/>
        </w:rPr>
        <w:t>The bear case remains formidable. MPT carries $9.7B in total debt ($14.7B assets) against a $2.6B market cap, with D/E of 215% creating structural leverage risk even after the refinancing [2]. The 5-year revenue CAGR of approximately -5% and 5-year dividend growth CAGR of -20.9% reflect genuine portfolio deterioration, not a temporary setback [6][7]. Governance concerns persist: Viceroy Research's 21 reports alleging revenue round-tripping through circular lending to distressed tenants, and Massachusetts senators' 'Ponzi scheme' characterization have not been fully resolved [3]. The hospital sector faces secular headwinds from labor shortages, reimbursement pressure, and rural hospital closures. While Q2 2026 showed a $2.6M net loss after Q1's $33.1M profit, indicating lumpy profitability, the company must demonstrate sustained quarterly earnings and successful operator performance on restructured leases before recovery can be confirmed. The Inspire Impact Score of 0 (MIXED) reflects limited ESG coverage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$1B annualized cash rent target by year-end 2026, validating portfolio stabilization and demonstrating that replacement operators are performing on restructured leases after the Steward crisis [2]</w:t>
      </w:r>
    </w:p>
    <w:p>
      <w:pPr>
        <w:spacing w:before="40" w:after="40"/>
        <w:ind w:left="283"/>
      </w:pPr>
      <w:r>
        <w:rPr>
          <w:rFonts w:ascii="Calibri" w:hAnsi="Calibri"/>
          <w:b/>
          <w:color w:val="4A6B25"/>
          <w:sz w:val="20"/>
        </w:rPr>
        <w:t xml:space="preserve">2. </w:t>
      </w:r>
      <w:r>
        <w:rPr>
          <w:rFonts w:ascii="Calibri" w:hAnsi="Calibri"/>
          <w:b w:val="0"/>
          <w:color w:val="3A4A28"/>
          <w:sz w:val="20"/>
        </w:rPr>
        <w:t>Sustained quarterly profitability following H1 2026's $30.2M net income inflection, with normalized FFO growth supporting potential further dividend increases from the current $0.09 quarterly rate [5][7]</w:t>
      </w:r>
    </w:p>
    <w:p>
      <w:pPr>
        <w:spacing w:before="40" w:after="40"/>
        <w:ind w:left="283"/>
      </w:pPr>
      <w:r>
        <w:rPr>
          <w:rFonts w:ascii="Calibri" w:hAnsi="Calibri"/>
          <w:b/>
          <w:color w:val="4A6B25"/>
          <w:sz w:val="20"/>
        </w:rPr>
        <w:t xml:space="preserve">3. </w:t>
      </w:r>
      <w:r>
        <w:rPr>
          <w:rFonts w:ascii="Calibri" w:hAnsi="Calibri"/>
          <w:b w:val="0"/>
          <w:color w:val="3A4A28"/>
          <w:sz w:val="20"/>
        </w:rPr>
        <w:t>Completed $2.4B refinancing eliminating all debt maturities through 2027 provides 18+ months of balance sheet stability, potentially enabling management to pivot from crisis management to portfolio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215% with $9.7B in total debt against a $2.6B market cap creates structural leverage risk — while near-term maturities are addressed through 2027, the company must eventually refinance at potentially higher rates that compress FFO margins [2]</w:t>
      </w:r>
    </w:p>
    <w:p>
      <w:pPr>
        <w:spacing w:before="40" w:after="40"/>
        <w:ind w:left="283"/>
      </w:pPr>
      <w:r>
        <w:rPr>
          <w:rFonts w:ascii="Calibri" w:hAnsi="Calibri"/>
          <w:b/>
          <w:color w:val="4A6B25"/>
          <w:sz w:val="20"/>
        </w:rPr>
        <w:t xml:space="preserve">2. </w:t>
      </w:r>
      <w:r>
        <w:rPr>
          <w:rFonts w:ascii="Calibri" w:hAnsi="Calibri"/>
          <w:b w:val="0"/>
          <w:color w:val="3A4A28"/>
          <w:sz w:val="20"/>
        </w:rPr>
        <w:t>Tenant concentration risk remains: another major operator bankruptcy (similar to Steward's $6.6B in lease liabilities) could be unrecoverable given MPT's weakened balance sheet and limited capacity to absorb further impairments [3]</w:t>
      </w:r>
    </w:p>
    <w:p>
      <w:pPr>
        <w:spacing w:before="40" w:after="40"/>
        <w:ind w:left="283"/>
      </w:pPr>
      <w:r>
        <w:rPr>
          <w:rFonts w:ascii="Calibri" w:hAnsi="Calibri"/>
          <w:b/>
          <w:color w:val="4A6B25"/>
          <w:sz w:val="20"/>
        </w:rPr>
        <w:t xml:space="preserve">3. </w:t>
      </w:r>
      <w:r>
        <w:rPr>
          <w:rFonts w:ascii="Calibri" w:hAnsi="Calibri"/>
          <w:b w:val="0"/>
          <w:color w:val="3A4A28"/>
          <w:sz w:val="20"/>
        </w:rPr>
        <w:t>Governance and credibility damage from Viceroy Research's 21 reports and the 'Ponzi scheme' characterization by legislators create persistent reputational overhang, potentially limiting institutional investor appetite and access to favorable financing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Medical Properties Trust owns physical hospital buildings leased to healthcare operators under long-term net leases — a business model with near-complete immunity to AI disruption [1]. Hospitals are essential physical infrastructure that cannot be digitized or replaced by artificial intelligence. Patient care, surgical procedures, emergency services, and inpatient treatment all require physical facilities regardless of AI advancement. The net-lease structure means tenants bear operating costs, further insulating MPT from operational AI disruption. The only marginal vulnerability is that AI-driven telemedicine, remote diagnostics, and ambulatory surgical centers could reduce inpatient hospital utilization over decades, but acute care, surgery, and emergency medicine will remain facility-dependent indefinitely. AI Opportunity (0/1): MPT has no meaningful AI opportunity as a property owner with approximately 100 employees. While AI could improve hospital tenant operations (diagnostics, scheduling, staffing optimization), these benefits accrue to operators, not to the landlord.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Medical Properties Trust Corporate Website — 'At the Very Heart of Healthcare,' medicalpropertiestrust.com,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Medical Properties Trust Q2 2026 Earnings and Refinancing — $2.4B refinancing eliminating maturities through 2027, $5.5B cumulative asset sales, SEC 10-Q Filing, July 2026</w:t>
      </w:r>
    </w:p>
    <w:p>
      <w:pPr>
        <w:spacing w:before="20" w:after="20"/>
        <w:ind w:left="170"/>
      </w:pPr>
      <w:r>
        <w:rPr>
          <w:rFonts w:ascii="Calibri" w:hAnsi="Calibri"/>
          <w:b/>
          <w:color w:val="4A6B25"/>
          <w:sz w:val="15"/>
        </w:rPr>
        <w:t xml:space="preserve">3. </w:t>
      </w:r>
      <w:r>
        <w:rPr>
          <w:rFonts w:ascii="Calibri" w:hAnsi="Calibri"/>
          <w:b w:val="0"/>
          <w:color w:val="3A4A28"/>
          <w:sz w:val="17"/>
        </w:rPr>
        <w:t>Steward Health Care Bankruptcy and Governance Controversy — Healthcare Dive ($736M loss), Boston Globe, PEStakeholder.org, OCCRP investigation, 2024-2026</w:t>
      </w:r>
    </w:p>
    <w:p>
      <w:pPr>
        <w:spacing w:before="20" w:after="20"/>
        <w:ind w:left="170"/>
      </w:pPr>
      <w:r>
        <w:rPr>
          <w:rFonts w:ascii="Calibri" w:hAnsi="Calibri"/>
          <w:b/>
          <w:color w:val="4A6B25"/>
          <w:sz w:val="15"/>
        </w:rPr>
        <w:t xml:space="preserve">4. </w:t>
      </w:r>
      <w:r>
        <w:rPr>
          <w:rFonts w:ascii="Calibri" w:hAnsi="Calibri"/>
          <w:b w:val="0"/>
          <w:color w:val="3A4A28"/>
          <w:sz w:val="17"/>
        </w:rPr>
        <w:t>Medical Properties Trust Leadership — CEO Ed Aldag 23-year tenure, insider ownership 6.80M shares, Comparably, WallStreetZen,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Medical Properties Trust H1 2026 Financial Results — $511.3M revenue, $30.2M net income, Q2 $259.28M revenue, StockTitan SEC Filing,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MPT Revenue History, D/E 215%, ROE -5.85%, Profit Margin -12.48%,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Medical Properties Trust Dividend History — $0.09 quarterly ($0.36 annual), 8.18% yield, cut from $0.29 in 2024, WallStreetZen, StockAnalysis,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