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MRK</w:t>
      </w:r>
      <w:r>
        <w:rPr>
          <w:rFonts w:ascii="Calibri" w:hAnsi="Calibri"/>
          <w:b/>
          <w:color w:val="1A2010"/>
          <w:sz w:val="40"/>
        </w:rPr>
        <w:t xml:space="preserve">  Merck &amp; Co.,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2026-08-13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 - General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Merck &amp; Co., Inc. operates as a global healthcare company, offering pharmaceutical products led by Keytruda (pembrolizumab), the world's top-selling drug at $33B+ annual run-rate. Also produces vaccines (Gardasil, Vaxneuvance, Capvaxive), cardiovascular (Winrevair), and animal health products (Bravecto). Pursuing 20 new drug launches by 2030 to diversify beyond Keytruda ahead of its 2028-2029 US patent cliff. Q2 2026 revenue grew 5% to $16.6B with Keytruda family at $8.4B. Full-year 2026 guidance raised to $66.3-$67.3B. Founded 1891, headquartered in Rahway, New Jersey.</w:t>
      </w:r>
    </w:p>
    <w:p>
      <w:r>
        <w:rPr>
          <w:rFonts w:ascii="Calibri" w:hAnsi="Calibri"/>
          <w:b/>
          <w:color w:val="6E8450"/>
          <w:sz w:val="18"/>
        </w:rPr>
        <w:t>73,000 Employees · https://www.merck.com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Keytruda has grown from $17B (2022) to a $33B+ annual run-rate, the most successful drug franchise in pharmaceutical history, expanding across 30+ tumor types into earlier-stage cancers with strong Q2 2026 uptake [1]. The subcutaneous formulation (Keytruda Qlex) launched successfully. Winrevair (sotatercept) is establishing PAH market leadership via the $11.5B Acceleron acquisition, and MK-7240 (from the $10.8B Prometheus acquisition) advances in IBD [1][3]. These represent multiple successful launches and transformative acquisitions. AI Deployment (1/2): Merck deployed GPTeal, an AI platform, to 50,000+ employees for AI-powered productivity across R&amp;D, clinical, and corporate functions. Ranked #2 in Pharma AI readiness by CB Insights. The Mayo Clinic AI drug discovery collaboration and Merck Digital Sciences Studio incubating AI/ML startups demonstrate systematic AI integration, though specific AI-driven revenue has not been publicly quantified [2]. Market Share (2/2): Keytruda is the world's #1 selling drug with $8.4B in Q2 2026 alone, dominant in immuno-oncology with continued market share in earlier-stage indications [1]. Gardasil maintains HPV vaccine leadership. Winrevair is establishing PAH market leadership. Product Pipeline (1/2): CEO Davis targets 'the broadest and widest pipeline in years' with 20 new drug launches by 2030 targeting $70B+ annual revenue by mid-2030s [1]. Specific assets include three Daiichi Sankyo ADC candidates, Winrevair expansion studies in heart failure, Capvaxive vaccine rollout, and MK-7240 for IBD. Timelines visible but post-Keytruda revenue replacement remains uncertain. R&amp;D Intensity (1/1): R&amp;D spending of ~$15B+/year (~23% of revenue) is at the top end of large pharma peers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Merck's purpose — 'to use the power of leading-edge science to save and improve lives around the world' — is specific, thoughtful, and validated by 135 years of execution from diphtheria antitoxin through Keytruda [1]. Founder George W. Merck's principle that 'medicine is for the people, not for the profits' remains a referenced guiding principle. The mission shapes $15B+ annual R&amp;D investment and pipeline focus on unmet medical needs. However, drug pricing practices and ESG criticisms around medicine accessibility in low-income countries create tension with the stated purpose [3]. Community Impact (1/2): Merck for Mothers invested $500M+ over a decade to reduce maternal mortality. Access to Health programs provide patient assistance and developing-country drug access. ESG strategy aligned to UN 2030 Sustainable Development Goals with net-zero emissions target by 2050 [3]. Substantive but standard for large pharma. Employee Retention (1/2): 73,000 employees with CEO Davis providing stable leadership since 2021. GPTeal deployment to 50,000+ employees shows investment in workforce capability. Glassdoor reviews cite 'great culture and learning opportunities' but also 'morale has declined, a lot of cuts have been made' and 'lack of trust between management and reps' [2]. Average for the industry. Insider Buying (1/2): CEO Davis holds $54M+ in Merck stock with equity-heavy compensation structure. However, recent insider activity shows net selling ($6M sale in February 2026) — routine diversification rather than conviction buying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Dividend-sleeve stock. Q2 2026 delivered $16.6B revenue (+5% YoY) with Keytruda family at $8.4B (+4%) and full-year guidance raised to $66.3-$67.3B [1]. Forward P/E of 15.13 is below the 20x target, reflecting the market's view that adjusted earnings remain solid despite GAAP distortions. GAAP profit margin of 4.77% and ROE of 6.96% are significantly depressed by one-time charges related to $28B+ in acquisitions (Acceleron, Prometheus, Verona, Cidara), distorting TTM metrics [1][4]. D/E of 128% is above the 70% target but well below the 300% floor, reflecting acquisition-related leverage. Revenue growth YoY of 5% nearly meets the 10% target, and 5yr CAGR of ~6% reflects steady pharmaceutical growth. Dividend metrics are exceptional: 60+ consecutive years paid (1.0, 2x weight), 14 consecutive years of growth (1.0), 5yr dividend growth CAGR of ~6.7% exceeding the 6% target (1.0, 2x weight), and estimated adjusted payout ratio of ~38% [4]. The stock clears the liquidity floor with ~$1.3B+ daily dollar volume. Infrastructure drops from 9 to 8 due to depressed GAAP profitability metrics from acquisition charges.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Merck demonstrates strong Infinite Game characteristics through its 135-year scientific mission and willingness to invest $15B+ annually in R&amp;D and $28B+ in acquisitions for long-term capability. The post-Keytruda diversification strategy — targeting 20 new drug launches by 2030 and $70B+ annual revenue by mid-2030s — reflects genuine courage to lead and long-term thinking. Q2 2026 results showed strategic pipeline advances despite one-time charges, with Keytruda family growth continuing at $8.4B. However, the strategic pivot is partially necessity-driven by the Keytruda patent cliff rather than purely cause-driven, and drug pricing practices create tension with the stated mission.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Merck's purpose of using science to save and improve lives has been validated by 135 years of execution across multiple medical revolutions — from diphtheria antitoxin to vaccines to Keytruda immunotherapy [1]. Founder George W. Merck's principle that 'medicine is for the people' remains a referenced touchstone. Strategic decisions — $15B+ annual R&amp;D, $28B+ in acquisitions, pipeline focus on unmet medical needs, Access to Health programs — trace back to this purpose. However, drug pricing practices and ESG criticism around medicine accessibility in low-income countries undermine the mission's credibility [3]. The cause has genuine depth but tension between stated mission and pricing prevents a transformative (3/3) rating.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73,000 employees with CEO Davis providing stable leadership since 2021 [2]. GPTeal deployment to 50,000+ employees suggests trust in workforce capability. Glassdoor reviews cite positive learning culture but also declining morale from cuts and 'lack of trust between management and reps' [2]. Comparably rates the executive team B+ and in the Top 20% of similar-size companies. Trust is adequate for the pharmaceutical industry but does not reach the high-trust standard of exceptional employee empowerment.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Merck acknowledges competitors' strengths and uses competitive pressure to drive improvement. CEO Davis's language focuses on building the 'broadest pipeline' and advancing science rather than defeating specific rivals [1]. The Daiichi Sankyo collaboration — partnering with a competitor to co-develop ADC candidates — exemplifies infinite competitive thinking. The willingness to acquire complementary capabilities (Verona, Cidara) reflects recognition that competition drives continuous diversification.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Merck is actively diversifying beyond Keytruda dependence — building the Winrevair cardiovascular franchise, acquiring Verona Pharma (respiratory) and Cidara (antifungals), launching Keytruda Qlex subcutaneous formulation, and developing ADC candidates with Daiichi Sankyo [1][3]. This represents meaningful strategic adaptation. However, the pivot is substantially necessity-driven by the approaching Keytruda patent cliff (US LOE 2028-2029 with biosimilar competition) rather than a proactive choice to abandon a thriving business in service of the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Merck has consistently invested heavily in R&amp;D through market cycles — $15B+/year representing ~23% of revenue — rather than harvesting Keytruda's cash flows through buybacks [1]. The company spent $28B+ on acquisitions (Acceleron $11.5B, Prometheus $10.8B, Verona Pharma, Cidara Therapeutics) to build post-Keytruda capability, accepting significant near-term GAAP margin compression — Q2 2026 profit margin fell to 4.77% from acquisition-related charges — for long-term pipeline diversity [1][3]. The decision to pursue 20 new drug launches by 2030 rather than maximize Keytruda's remaining patent life through financial engineering reflects long-term thinking.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Merck at 15.13x forward earnings offers pharma-grade defensiveness with meaningful pipeline upside. Q2 2026 revenue grew 5% to $16.6B with Keytruda family at $8.4B and strong uptake in earlier-stage cancers, driving raised full-year guidance to $66.3-$67.3B [1]. The 2.54% dividend yield is supported by 60+ consecutive years of payment, 14 consecutive years of growth, and a manageable ~38% adjusted payout ratio. Free cash flow generation of ~$14B annually funds both the dividend and the ambitious post-Keytruda diversification strategy targeting $70B+ annual revenue by mid-2030s through 20 new drug launches [1]. The pipeline includes Winrevair (PAH/heart failure expansion), three Daiichi Sankyo ADC candidates, MK-7240 (IBD from Prometheus), Capvaxive (pneumococcal vaccine), and Keytruda Qlex subcutaneous formulation for franchise extension. Merck's #2 ranking in Pharma AI readiness and GPTeal platform deployment to 50,000+ employees position the company for AI-driven R&amp;D productivity gains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Merck's Keytruda concentration risk remains existential — the franchise generates approximately 50% of total revenue at a $33B+ annual run-rate, and US loss of exclusivity beginning in 2028-2029 could result in significant biosimilar erosion [3]. Samsung Bioepis, Amgen, and Indian manufacturers are advancing biosimilar programs, with analysts projecting 15-30% EU price erosion in Year 1 declining to 45-60% by Year 3 [3]. GAAP profitability is severely distorted by one-time acquisition charges: TTM profit margin of 4.77% and ROE of 6.96% reflect the balance sheet impact of $28B+ in acquisitions rather than operational deterioration, but these charges mechanically compress the infrastructure score [4]. Revenue growth of only 5% YoY and ~6% 5yr CAGR are modest for a company needing to replace $33B+ in Keytruda revenue within 3-5 years. The Inflation Reduction Act's Medicare drug price negotiation directly threatens Keytruda and future high-revenue drugs. D/E of 128% reflects acquisition-related leverage at 2x the 70% target. The Inspire Impact Score of -67 (MISALIGNED) limits allocation for faith-based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Keytruda family franchise extension through subcutaneous Qlex formulation, earlier-stage cancer expansion, and potential biosimilar differentiation — Q2 2026 growth of 4% to $8.4B demonstrates continued demand even as US growth moderates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Post-Keytruda pipeline of 20 new drug launches by 2030 targeting $70B+ annual revenue by mid-2030s, led by Winrevair (PAH/heart failure), three Daiichi Sankyo ADC candidates, MK-7240 (IBD), and Capvaxive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Normalization of GAAP profitability metrics as one-time acquisition charges work through the P&amp;L — underlying adjusted earnings power of ~$8.86/share supports the 15x forward multiple and potential re-rating as charges abate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Keytruda patent cliff beginning 2028-2029 threatens ~$33B+ in annual revenue — biosimilar developers project 15-30% EU price erosion Year 1 and 45-60% by Year 3, requiring pipeline diversification to replace the world's largest drug franchise within a compressed timeline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GAAP profitability severely compressed by $28B+ in acquisition charges — TTM profit margin of 4.77% and ROE of 6.96% could persist for multiple quarters, pressuring the infrastructure profile and potentially triggering value traps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Inflation Reduction Act Medicare drug price negotiation could directly impact Keytruda and future high-revenue products, compressing margins before replacement revenues achieve commercial scale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Pharmaceutical drug development, clinical trials, FDA regulatory approval, and GMP manufacturing are deeply regulated physical-world processes that AI structurally cannot substitute [1]. Drug molecules must physically interact with biological systems — no AI model can replace the $2B+ and 10+ years required to bring a new drug through Phase I-III trials and FDA approval. Keytruda's competitive moat is protected by clinical data exclusivity, manufacturing complexity, and physician trust built over a decade of real-world evidence across 30+ tumor types [1]. AI actually enhances drug discovery through faster target identification and trial design optimization, making pharma an AI beneficiary. However, AI-driven drug discovery could lower barriers to entry for competitors over time, and AI tools may accelerate biosimilar development timelines for the approaching Keytruda patent cliff — preventing an IMMUNE rating [3]. AI Opportunity (1/1): GPTeal AI platform deployed to 50,000+ employees generating operational productivity gains. Ranked #2 in Pharma AI readiness by CB Insights. Mayo Clinic AI drug discovery collaboration and Merck Digital Sciences Studio demonstrate systematic AI adoption generating measurable efficiency improvements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Merck Q2 2026 Earnings Release — Revenue $16.6B (+5%), Keytruda Family $8.4B (+4%), Full-Year Guidance Raised to $66.3-$67.3B, One-Time Charges, CNBC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Merck AI Strategy (GPTeal Platform to 50,000+ employees, CB Insights #2 Pharma AI Readiness), CEO Rob Davis Leadership, Glassdoor Reviews — Klover.ai, Merck.com, Comparably,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Merck ESG Strategy, Drug Pricing Controversies, Keytruda Patent Cliff and Biosimilar Competition, Pipeline Diversification — Fierce Pharma, PharmaVoice, Merck.com,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StockAnalysis, GuruFocus — MRK Key Statistics: Forward P/E 15.13, PEG 2.23, D/E 128%, ROE 6.96%, Profit Margin 4.77%, Dividend Yield 2.54%, Stock Price ~$134,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