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w:t>
      </w:r>
      <w:r>
        <w:rPr>
          <w:rFonts w:ascii="Calibri" w:hAnsi="Calibri"/>
          <w:b/>
          <w:color w:val="1A2010"/>
          <w:sz w:val="40"/>
        </w:rPr>
        <w:t xml:space="preserve">  Morgan Stanley</w:t>
      </w:r>
    </w:p>
    <w:p>
      <w:pPr>
        <w:spacing w:after="120"/>
      </w:pPr>
      <w:r>
        <w:rPr>
          <w:rFonts w:ascii="Calibri" w:hAnsi="Calibri"/>
          <w:b/>
          <w:color w:val="6E8450"/>
          <w:sz w:val="18"/>
        </w:rPr>
        <w:t>DIVIDEND SLEEVE · 2026-08-23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Morgan Stanley is a global financial holding company providing capital raising, financial advisory, equity and fixed income sales/trading, prime brokerage, wealth management, and investment management services through its Institutional Securities, Wealth Management, and Investment Management segments. Q2 2026 delivered record revenue of $21.3B (+26.8% YoY) and EPS of $3.46, beating estimates. Wealth Management posted record $8.86B revenue with $148.1B in net new assets. The firm reached the strategic milestone of $10 trillion in total client assets. Record equities revenue of $6.3B and investment banking up 58% to $2.4B. Market cap approximately $360B.</w:t>
      </w:r>
    </w:p>
    <w:p>
      <w:r>
        <w:rPr>
          <w:rFonts w:ascii="Calibri" w:hAnsi="Calibri"/>
          <w:b/>
          <w:color w:val="6E8450"/>
          <w:sz w:val="18"/>
        </w:rPr>
        <w:t>83,000 Employees · https://www.morganstanley.com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Morgan Stanley delivered record Q2 2026 revenue of $21.3B with EPS of $3.46, extending the record 2025 ($70.6B revenue, 28% EPS growth) [1][2]. The firm's decade-long transformation from a trading-heavy investment bank to the world's largest wealth manager through the E*Trade ($13B, 2020) and Eaton Vance ($7B, 2021) acquisitions represents a genuine business model transformation under Gorman, now continued by Ted Pick's integrated operating model. AI Deployment (2/2): Morgan Stanley was the first major Wall Street firm to deploy OpenAI's GPT-4, and now has over 3,500 AI-driven tools in use across the firm — including real-time scenario analysis, tax planning, client portfolio optimization, and conversation transcription saving advisors 10-15 hours weekly [3]. CEO Pick has identified 2026 as the 'year of AI breakthrough' for the firm. Market Share (2/2): Morgan Stanley reached the strategic milestone of $10T in total client assets, with Wealth Management posting record $8.86B in Q2 revenue and $148.1B in net new assets (more than double the prior year) [2]. Investment Management AUM hit a record $2T. The firm holds top-3 positions in M&amp;A advisory and equity underwriting globally. Product Pipeline (0/2): No transformative next-gen products with specific timelines beyond continued AI integration, wealth management platform buildout, and incremental service expansion. R&amp;D Intensity (1/1): The firm's dedicated AI research team under Jeff McMillan publishes at NeurIPS, ICML, and ICLR, and McMillan's appointment as firm-wide Head of AI signals above-peer technology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Morgan Stanley's stated purpose is to 'help people, institutions and governments raise, manage and distribute the capital they need to achieve their goals' — clear and functional but not distinctive or inspiring beyond the financial services norm. It does not articulate a broader societal aspiration beyond capital markets facilitation. Community Impact (1/2): Morgan Stanley maintains community development financial institutions (CDFIs), affordable housing investments, and financial literacy programs, but these are standard for a major bank and lack the distinctive scale of purpose-driven philanthropy. Employee Retention (1/2): Glassdoor rating of 3.9/5 with 78% recommending the firm and particularly strong 4.3/5 in Wealth Management is solid for financial services [4]. However, periodic layoffs and competitive Wall Street culture temper the score. No specific tenure or turnover data suggests exceptional retention beyond industry norms. Insider Buying (0/2): CEO Ted Pick sold approximately $16M in shares at $164 per share, and multiple senior executives (Saperstein, Simkowitz, Grossman) conducted net sales totaling over 400,000 shares combined [5]. Over the past 3 months, insiders sold 93,605 shares and purchased zero. This constitutes a clear net insider selling pattern, standard for equity-heavy bank CEO compensation but not signaling conviction through personal capital deployment.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Morgan Stanley's financial strength continues to accelerate. Q2 2026 delivered record $21.3B net revenue (+26.8% YoY) with EPS of $3.46, extending the record 2025 ($70.6B, $10.32 EPS) [1][2]. ROE of 16.39% exceeds the 15% target (score 1.0), and TTM profit margin of 23.9% ($17.50B profit on $73.17B revenue) well exceeds the 20% target [6]. Forward P/E of 17.80x reflects reasonable valuation for a franchise of this quality (score 1.0). Revenue growth YoY of approximately 20% driven by Q2 record results exceeds the 10% target. The 5-year revenue CAGR of 8.38% is above the midpoint between floor and target (score 0.892) [6]. The dividend was raised 15% to $1.15/quarterly ($4.60 annualized) starting Q3 2026, extending a 13-year consecutive growth streak with a 26.7% 5-year CAGR [2]. Payout ratio of 36.9% provides substantial room for further increases. D/E of 502% scores 0 mechanically — typical for a deposit-funded globally systemically important bank and not indicative of solvency risk. Liquidity floor easily cleared: ~$1.6B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Morgan Stanley plays a largely forward-looking game under the Gorman-to-Pick leadership transition — the decade-long transformation from trading house to wealth management platform was a courageous strategic pivot that sacrificed short-term trading dominance for durable, recurring fee income. The $10T client asset milestone validates the strategy. However, Wall Street's quarterly earnings focus, competitive league-table mentality, and inherently short-term incentive structures introduce finite game elements. Pick's early tenure emphasizes execution and AI integration within the established framework rather than a new transformative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Morgan Stanley's purpose — enabling capital formation for people, institutions, and governments — is genuine and connects to broader economic advancement. The deliberate pivot to wealth management reflected a long-term vision of serving clients through market cycles rather than optimizing quarterly trading P&amp;L. The $10T client asset milestone achieved in Q2 2026 validates the durability of this vision across the Gorman-to-Pick transition [2]. However, this is not yet a transformative cause validated across decades of multiple leadership transitions, and the purpose remains functionally oriented rather than aspirational in Sinek's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 with 78% recommendation rate and particularly strong 4.3/5 in Wealth Management suggest adequate organizational trust [4]. The leadership team maintained stability through the CEO transition from Gorman to Pick. However, Wall Street's competitive culture, periodic layoffs, and the inherent tension between collaboration and individual performance metrics in financial services prevent a top score. The 83,000-employee global workforce spanning three continents makes building deep organizational trust inherently challenging.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Morgan Stanley consistently benchmarks against Goldman Sachs, JPMorgan, and UBS, using competitive pressure to refine its strategy rather than simply trying to defeat competitors. The firm's approach is to learn from rivals' strengths — expanding wealth management after observing UBS's model, accelerating AI adoption after seeing fintech innovation, investing in technology infrastructure after JPMorgan's tech leadership — and incorporate those lessons into its own operating model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trading-dominated bank to a wealth management powerhouse — through the Smith Barney acquisition (2009-2013), E*Trade acquisition (2020), and Eaton Vance acquisition (2021) — represents genuine strategic evolution over a decade [1]. These moves sacrificed short-term trading dominance for long-term recurring revenue and lower-volatility earnings. The $10T client asset milestone validates this pivot. However, the shift was incremental and opportunistic over 12+ years rather than a single transformative pivot, and the firm has not faced a true existential test under its current wealth management-centric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James Gorman's decision to pivot to wealth management when Morgan Stanley was a top-tier trading franchise required genuine courage — the Street questioned whether the firm was ceding ground to Goldman Sachs. The E*Trade acquisition during COVID-19 uncertainty showed willingness to make bold moves when others hesitated. Pick's early commitment to AI — deploying 3,500+ tools and declaring 2026 the 'year of AI breakthrough' — continues this trajectory [3]. However, Pick's tenure is still young and has benefited from favorable market conditions; the true test of courage comes during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Morgan Stanley is executing at the highest level in its history. Q2 2026 delivered record revenue of $21.3B (+26.8% YoY) with EPS of $3.46, beating estimates of $2.93, following a record 2025 ($70.6B revenue, 28% EPS growth) [1][2]. The firm reached the strategic milestone of $10T in total client assets, with Wealth Management posting record $8.86B revenue (+14%) and $148.1B in net new assets — more than double the prior year [2]. At 17.80x forward P/E with a dividend raised 15% to $4.60 annualized (2.03% yield, 26.7% 5-year CAGR, 36.9% payout ratio), the stock offers a compelling total return profile for a franchise consistently earning above its cost of equity [6]. AI deployment across 3,500+ tools is driving measurable advisor productivity, with record equities revenue of $6.3B and investment banking up 58% to $2.4B demonstrating broad-based strength [2][3].</w:t>
      </w:r>
    </w:p>
    <w:p>
      <w:pPr>
        <w:spacing w:after="120"/>
      </w:pPr>
      <w:r>
        <w:rPr>
          <w:rFonts w:ascii="Calibri" w:hAnsi="Calibri"/>
          <w:b w:val="0"/>
          <w:color w:val="3A4A28"/>
          <w:sz w:val="20"/>
        </w:rPr>
        <w:t>The bear case centers on valuation, cyclical exposure, and the sustainability of record results. The stock has appreciated significantly — now at $227 with forward P/E of 17.80x — reducing the margin of safety compared to historical averages near 12-14x [6]. Despite the wealth management pivot, approximately 35% of revenue still comes from Institutional Securities, which is highly sensitive to market conditions, M&amp;A volumes, and trading activity — Q2's 58% investment banking surge and record equities reflect exceptional market conditions that may not persist. D/E of 502% (typical for systemically important banks) creates balance sheet vulnerability in a severe credit cycle. CEO Pick's $16M in share sales and net insider selling across multiple executives suggest internal caution about current valuations [5]. Wealth management fee compression from robo-advisors, AI-native fintech platforms, and regulatory pressure remains a secular risk. The Inspire Impact Score of -67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wealth management asset gathering beyond the $10T milestone, with Q2 2026's $148.1B net new assets (more than double prior year) demonstrating accelerating client acquisition that drives durable fee-based revenue [2]</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across 3,500+ tools with 2026 as the 'year of AI breakthrough' — potential to expand margins as advisor efficiency improves and AI tools scale across the 83,000-employee workforce [3]</w:t>
      </w:r>
    </w:p>
    <w:p>
      <w:pPr>
        <w:spacing w:before="40" w:after="40"/>
        <w:ind w:left="283"/>
      </w:pPr>
      <w:r>
        <w:rPr>
          <w:rFonts w:ascii="Calibri" w:hAnsi="Calibri"/>
          <w:b/>
          <w:color w:val="4A6B25"/>
          <w:sz w:val="20"/>
        </w:rPr>
        <w:t xml:space="preserve">3. </w:t>
      </w:r>
      <w:r>
        <w:rPr>
          <w:rFonts w:ascii="Calibri" w:hAnsi="Calibri"/>
          <w:b w:val="0"/>
          <w:color w:val="3A4A28"/>
          <w:sz w:val="20"/>
        </w:rPr>
        <w:t>Dividend growth compounding — 26.7% 5-year CAGR with latest 15% raise to $4.60 annualized and 36.9% payout ratio providing substantial room for further increases alongside $1.5B quarterly share buybacks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Institutional Securities cyclicality — Q2 2026's record equities ($6.3B) and 58% investment banking surge reflect exceptional market conditions; a market downturn or M&amp;A slowdown could compress the ~35% of revenue tied to capital markets activity [2]</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risk at 17.80x forward P/E after significant appreciation, reducing margin of safety against cyclical earnings risk and limiting upside if market conditions normalize from current exceptional levels [6]</w:t>
      </w:r>
    </w:p>
    <w:p>
      <w:pPr>
        <w:spacing w:before="40" w:after="40"/>
        <w:ind w:left="283"/>
      </w:pPr>
      <w:r>
        <w:rPr>
          <w:rFonts w:ascii="Calibri" w:hAnsi="Calibri"/>
          <w:b/>
          <w:color w:val="4A6B25"/>
          <w:sz w:val="20"/>
        </w:rPr>
        <w:t xml:space="preserve">3. </w:t>
      </w:r>
      <w:r>
        <w:rPr>
          <w:rFonts w:ascii="Calibri" w:hAnsi="Calibri"/>
          <w:b w:val="0"/>
          <w:color w:val="3A4A28"/>
          <w:sz w:val="20"/>
        </w:rPr>
        <w:t>Wealth management fee compression from robo-advisors, AI-native fintech competitors, and potential regulatory action on advisory fees as lower-cost alternatives proliferate and AI democratizes financial advice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Morgan Stanley's core business faces moderate AI disruption risk, but regulatory moats, institutional client trust, and the complexity of wealth management advisory relationships create meaningful barriers against displacement. Trading and research distribution face the highest disruption risk as AI-native fintech competitors could pressure these lower-moat activities. However, the firm's own AI deployment (3,500+ tools, saving advisors 10-15 hours weekly) demonstrates it is an early adopter and integrator, not a potential victim [3]. Regulatory complexity in wealth management, investment banking, and institutional securities creates durable moats that AI alone cannot overcome. The high-touch $10T wealth management platform serving ultra-high-net-worth clients has natural defensive moats through relationship depth, switching costs, and complex needs. AI Opportunity (1/1): Morgan Stanley generates meaningful AI-driven productivity gains — advisors save 10-15 hours weekly using AI tools, and the firm's OpenAI partnership continues to produce client-facing AI products across wealth management, research, and risk management [3]. The firm monetizes AI indirectly through improved advisor capacity and client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Morgan Stanley Full-Year 2025 Earnings Release — record $70.6B revenue, $10.32 EPS, 28% EPS growth, 21.6% ROTCE, January 2026</w:t>
      </w:r>
    </w:p>
    <w:p>
      <w:pPr>
        <w:spacing w:before="20" w:after="20"/>
        <w:ind w:left="170"/>
      </w:pPr>
      <w:r>
        <w:rPr>
          <w:rFonts w:ascii="Calibri" w:hAnsi="Calibri"/>
          <w:b/>
          <w:color w:val="4A6B25"/>
          <w:sz w:val="15"/>
        </w:rPr>
        <w:t xml:space="preserve">2. </w:t>
      </w:r>
      <w:r>
        <w:rPr>
          <w:rFonts w:ascii="Calibri" w:hAnsi="Calibri"/>
          <w:b w:val="0"/>
          <w:color w:val="3A4A28"/>
          <w:sz w:val="17"/>
        </w:rPr>
        <w:t>Morgan Stanley Q2 2026 Earnings — Record $21.3B revenue (+26.8%), EPS $3.46, WM record $8.86B, $10T client assets, equities $6.3B record, IB +58%, 15% dividend increase, July 2026</w:t>
      </w:r>
    </w:p>
    <w:p>
      <w:pPr>
        <w:spacing w:before="20" w:after="20"/>
        <w:ind w:left="170"/>
      </w:pPr>
      <w:r>
        <w:rPr>
          <w:rFonts w:ascii="Calibri" w:hAnsi="Calibri"/>
          <w:b/>
          <w:color w:val="4A6B25"/>
          <w:sz w:val="15"/>
        </w:rPr>
        <w:t xml:space="preserve">3. </w:t>
      </w:r>
      <w:r>
        <w:rPr>
          <w:rFonts w:ascii="Calibri" w:hAnsi="Calibri"/>
          <w:b w:val="0"/>
          <w:color w:val="3A4A28"/>
          <w:sz w:val="17"/>
        </w:rPr>
        <w:t>Morgan Stanley AI Strategy — CEO Ted Pick on AI benefits, 3,500+ tools deployed, advisors save 10-15 hours/week, 'year of AI breakthrough', CIO Dive, Banking Dive, CNBC,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Morgan Stanley Reviews, 19,500+ reviews, 3.9/5 rating, WM 4.3/5, 78% recommend,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Morgan Stanley Insider Trading — CEO Pick sold ~$16M at $164/share, Saperstein/Simkowitz/Grossman net sellers, 93,605 shares sold vs 0 bought in 3 months — GuruFocus, TipRanks,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MS Key Statistics: Forward P/E 17.80x, ROE 16.39%, D/E 502%, Profit Margin 23.9%, PEG 1.71, $73.17B TTM revenue,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