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MU</w:t>
      </w:r>
      <w:r>
        <w:rPr>
          <w:rFonts w:ascii="Calibri" w:hAnsi="Calibri"/>
          <w:b/>
          <w:color w:val="1A2010"/>
          <w:sz w:val="40"/>
        </w:rPr>
        <w:t xml:space="preserve">  Micron Technology, Inc.</w:t>
      </w:r>
    </w:p>
    <w:p>
      <w:pPr>
        <w:spacing w:after="120"/>
      </w:pPr>
      <w:r>
        <w:rPr>
          <w:rFonts w:ascii="Calibri" w:hAnsi="Calibri"/>
          <w:b/>
          <w:color w:val="6E8450"/>
          <w:sz w:val="18"/>
        </w:rPr>
        <w:t>GROWTH SLEEVE · 2026-08-12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Micron Technology designs, develops, and manufactures memory and storage products including DRAM, NAND, and High Bandwidth Memory (HBM) for AI, data center, mobile, and automotive applications. Founded in 1978 and headquartered in Boise, Idaho, with approximately 53,000 employees. Micron is in a historic AI-driven profit supercycle — Q3 FY2026 (ended May 28, 2026) delivered record revenue of $41.46B (+346% YoY), GAAP net income of $28.24B, and 84.6% gross margins. Q4 FY2026 guidance of $50B revenue with ~86% gross margins would represent the most profitable quarter in semiconductor history. CEO Sanjay Mehrotra has led the company since 2017. Market cap is approximately $991B at a stock price of $877.57.</w:t>
      </w:r>
    </w:p>
    <w:p>
      <w:r>
        <w:rPr>
          <w:rFonts w:ascii="Calibri" w:hAnsi="Calibri"/>
          <w:b/>
          <w:color w:val="6E8450"/>
          <w:sz w:val="18"/>
        </w:rPr>
        <w:t>53,000 Employees · https://www.micron.com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Micron has undergone the most dramatic transformation in semiconductor history — from cyclical commodity memory manufacturer to AI-critical infrastructure provider. Q3 FY2026 revenue of $41.46B represents 346% YoY growth from $9.30B, with GAAP net income of $28.24B ($24.67 per diluted share) and 84.6% gross margins, up from 37.7% a year ago [1]. HBM4 volume shipments are ramping with pin speeds above 11 Gbps, and the stock has risen from ~$300 to $877 since early 2026. AI Deployment (2/2): HBM IS AI infrastructure — every major AI accelerator (NVIDIA, AMD, custom ASICs) requires HBM, and AI workloads consume 3x more memory wafers than traditional computing [1]. Micron's entire calendar 2026 HBM supply is sold out under binding price and volume agreements. AI is not a feature — it is the fundamental business driver generating tens of billions in direct revenue. Market Share (2/2): Micron is one of only three companies globally capable of producing HBM (alongside Samsung and SK Hynix), forming an oligopoly with massive barriers to entry — new fab construction costs $15B+ and takes 3-5 years [1]. The HBM TAM is projected to exceed $100B in 2027, pulled forward from prior forecasts. Product Pipeline (1/2): HBM4 is ramping with high yields in Q2 calendar 2026, HBM4e targets 2027, and CHIPS Act MegaFabs in Idaho and New York are on track for 2027 production [1]. Q4 FY2026 guidance of $50B revenue provides near-term visibility. However, beyond HBM4e, the longer-term roadmap is less publicly defined. R&amp;D Intensity (1/1): CapEx exceeds $25B in FY2026 with $6.4B in CHIPS Act grants funding MegaFab construction — industry-leading investment intensity for a memory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Micron's purpose — 'transforming how the world uses information to enrich life for all' — is specific, thoughtful, and connects memory technology to enabling AI-driven breakthroughs in healthcare, autonomous vehicles, climate modeling, and scientific discovery [3]. CEO Sanjay Mehrotra references this purpose consistently, and the HBM pivot validates the connection between memory innovation and transformative AI applications. However, the articulation is relatively recent (Mehrotra's 9-year tenure) and has not been tested through leadership transitions. Community Impact (1/2): CHIPS Act MegaFab investments in Idaho and New York are projected to create 20,000+ direct and indirect jobs in domestic semiconductor manufacturing, contributing to national economic resilience and supply chain security [1]. Micron runs STEM education and workforce development programs. However, a shareholder lawsuit alleging board failure to meaningfully increase diversity despite public commitments introduces reputational risk [4]. Employee Retention (1/2): Micron's 53,000 employees benefit from Mehrotra's culture emphasizing 'forward-thinking, innovation and rapid execution,' with mandatory psychological safety training for leaders, and 79% of employees rating Micron a great place to work [3]. Dramatic stock appreciation has created significant wealth for employee-shareholders. However, no specific tenure or turnover data is available. Insider Buying (0/2): Net insider selling remains significant — CEO Mehrotra and other executives have sold tens of millions in shares under pre-arranged 10b5-1 plans. While planned sales, aggregate insider selling signals management awareness of elevated valuation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perfect 10. D/E of approximately 14.9% is well below the 70% target (score 1.0, weight 1x) [1]. ROE is strongly positive — with Q3 net income of $28.24B on estimated equity of $70-85B, ROE easily exceeds the 15% target (score 1.0, weight 2x). Revenue growth YoY of 345.7% ($41.46B vs $9.30B) massively exceeds the 10% target (score 1.0, weight 1x) [1]. Revenue growth 5yr CAGR of approximately 30% (from ~$27B FY2021 to estimated ~$125B FY2026) exceeds the 10% target (score 1.0, weight 2x). Forward P/E of 5.61 is well below the 20 target (score 1.0, weight 1x) [5]. Profit margin of approximately 68.1% ($28.24B net income on $41.46B revenue) far exceeds the 20% target (score 1.0, weight 1x) [1]. Forward PEG of 0.03 is extraordinarily below the 1.0 target (score 1.0, weight 2x) [5]. All metrics at ceiling — weighted sum 10.0 / max 10 = 10. Liquidity floor: ~44M avg daily volume x $877.57 = ~$38.6B daily dollar volume — PASSED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Micron demonstrates strong infinite game characteristics under Sanjay Mehrotra's 9-year leadership. The company has made transformative strategic bets — pivoting from commodity DRAM/NAND to AI-critical HBM, investing $25B+ in CapEx on MegaFabs that will not produce until 2027-2028, and aggressively pursuing HBM4/HBM4e technology leadership even when SK Hynix had early advantages. The 48-year company history through multiple semiconductor cycles demonstrates endurance. Mehrotra's leadership training programs emphasizing psychological safety reflect genuine investment in organizational culture. The current profit supercycle creates a rare opportunity to invest for long-term capability without earnings pressure.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Micron's purpose of 'transforming how the world uses information to enrich life for all' is genuine, distinctive, and connects memory technology to enabling transformative AI applications — autonomous vehicles, drug discovery, climate modeling, and scientific research [3]. The HBM pivot validates this purpose: memory innovation IS enabling the AI revolution. Mehrotra references this purpose consistently. However, Micron's 48-year history includes commodity-focused eras where purpose was less evident, and the current articulation has not been tested through leadership transitions. Genuine cause, partially lived — not yet validated across decades of consistent strategic alignment.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Micron's 53,000 employees operate under Mehrotra's culture emphasizing innovation and rapid execution. The company mandates psychological safety training for leaders to enhance trust and collaboration — a deliberate Sinek-aligned investment in organizational safety [3]. 79% of employees rate Micron a great place to work. Strong equity compensation programs and dramatic stock appreciation have created significant employee wealth. However, semiconductor manufacturing environments are operationally demanding, industry talent mobility is high, and a diversity lawsuit suggests gaps between stated cultural values and execution [4]. Adequate trust without exceptional evidence.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Micron competes with Samsung and SK Hynix in a three-way oligopoly, and uses competitive pressure constructively. When SK Hynix secured early NVIDIA HBM design wins, Micron responded by accelerating HBM4 development and achieving high-yield volume production [1]. Management's competitive language focuses on technology leadership and customer value rather than destroying rivals. The three-way competition drives rapid innovation that benefits the entire AI ecosystem. Mehrotra's posture is about earning technology leadership, not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Micron's pivot from commodity DRAM/NAND manufacturer to AI-critical HBM infrastructure provider is a textbook example of transformative existential flexibility [1]. The company fundamentally reinvented its growth narrative, investment thesis, and strategic positioning — from a cyclical commodity stock trading at 5-8x trough earnings to a structural growth story approaching $1 trillion market cap. The $25B+ CapEx program and CHIPS Act MegaFab construction represent bets on a future that will not fully materialize until 2027-2028. This transformation was driven by technology vision, not desperation — Micron chose to pursue HBM leadership when the outcome was uncertain.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Multiple examples of costly long-term bets define Mehrotra's leadership. Investing $25B+ in CapEx during what skeptics call a cycle peak — building MegaFabs in Idaho and New York that will not produce until 2027-2028 — represents genuine courage to prioritize future capability over current earnings optimization [1]. Aggressively pursuing HBM4 when SK Hynix had early advantages required conviction in the technology roadmap. Deploying capital for domestic manufacturing (CHIPS Act) reduces long-term geopolitical risk at the cost of near-term returns. The company is choosing transformative investment over margin optimization at every 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Micron is in a once-in-a-generation AI-driven profit supercycle that continues to accelerate — Q3 FY2026 revenue of $41.46B (+346% YoY) with $28.24B GAAP net income ($24.67 EPS) and 84.6% gross margins shattered records, and Q4 guidance of $50B revenue with ~86% gross margins and $31 EPS would make it the most profitable quarter in semiconductor history [1]. At just 5.61x forward P/E and 0.03x PEG, Micron remains remarkably inexpensive for a company delivering triple-digit revenue growth in a structural AI demand environment where the HBM TAM exceeds $100B by 2027 [5]. The fortress balance sheet (D/E 14.9%, massive operating cash flow of $25.39B in Q3 alone) funds $25B+ in CapEx and CHIPS Act MegaFab construction without leverage risk. As one of only three global HBM producers with entire 2026 supply sold out under binding agreements, Micron has pricing power and volume visibility that is unprecedented in memory history.</w:t>
      </w:r>
    </w:p>
    <w:p>
      <w:pPr>
        <w:spacing w:after="120"/>
      </w:pPr>
      <w:r>
        <w:rPr>
          <w:rFonts w:ascii="Calibri" w:hAnsi="Calibri"/>
          <w:b w:val="0"/>
          <w:color w:val="3A4A28"/>
          <w:sz w:val="20"/>
        </w:rPr>
        <w:t>The bear case centers on cyclicality, peak margins, and emerging risks. Memory is historically the most volatile semiconductor segment, and 84.6% gross margins with ~86% Q4 guidance represent all-time peaks — any normalization toward 50-60% would cause a significant earnings correction [1]. At $877.57 per share and $991B market cap, the stock prices in continued supercycle execution. A UBS survey indicating 60% of businesses are cutting AI spending raises demand risk, and discussions around windfall profit taxes on AI-focused memory companies have emerged as a new policy overhang [2]. Chinese competitor CXMT is making memory manufacturing advances that could eventually pressure conventional DRAM pricing, though it remains technology generations behind in HBM. Samsung and SK Hynix competition remains fierce — any NVIDIA procurement shift could reduce Micron's premium HBM share. Hyperscaler CapEx concentration (Microsoft, Meta, Google, Amazon) means Micron's fortunes are tied to a handful of AI infrastructure budgets. The Inspire Impact Score of -49 (MISALIGNED) may limit allocation for faith-based investors despite Micron's extensive ESG programs across 21 positive attributions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Q4 FY2026 results (expected September 2026) — if $50B revenue guidance and ~86% gross margin target are met, it would confirm the supercycle is still accelerating and support re-rating toward $1,000+ [1]</w:t>
      </w:r>
    </w:p>
    <w:p>
      <w:pPr>
        <w:spacing w:before="40" w:after="40"/>
        <w:ind w:left="283"/>
      </w:pPr>
      <w:r>
        <w:rPr>
          <w:rFonts w:ascii="Calibri" w:hAnsi="Calibri"/>
          <w:b/>
          <w:color w:val="4A6B25"/>
          <w:sz w:val="20"/>
        </w:rPr>
        <w:t xml:space="preserve">2. </w:t>
      </w:r>
      <w:r>
        <w:rPr>
          <w:rFonts w:ascii="Calibri" w:hAnsi="Calibri"/>
          <w:b w:val="0"/>
          <w:color w:val="3A4A28"/>
          <w:sz w:val="20"/>
        </w:rPr>
        <w:t>HBM4 volume production ramp for NVIDIA Vera Rubin throughout 2026, with HBM4e targeting 2027 — extending technology leadership and pricing power in a market where supply remains structurally tight [1]</w:t>
      </w:r>
    </w:p>
    <w:p>
      <w:pPr>
        <w:spacing w:before="40" w:after="40"/>
        <w:ind w:left="283"/>
      </w:pPr>
      <w:r>
        <w:rPr>
          <w:rFonts w:ascii="Calibri" w:hAnsi="Calibri"/>
          <w:b/>
          <w:color w:val="4A6B25"/>
          <w:sz w:val="20"/>
        </w:rPr>
        <w:t xml:space="preserve">3. </w:t>
      </w:r>
      <w:r>
        <w:rPr>
          <w:rFonts w:ascii="Calibri" w:hAnsi="Calibri"/>
          <w:b w:val="0"/>
          <w:color w:val="3A4A28"/>
          <w:sz w:val="20"/>
        </w:rPr>
        <w:t>CHIPS Act MegaFab in Idaho on track for 2027 production, adding domestic capacity that reduces geopolitical supply chain risk and positions Micron for the next decade of AI memory demand with government-subsidized cost 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Memory cycle peak risk — HBM gross margins of 84.6% (guiding to 86%) are historically unprecedented and structurally unsustainable; any normalization toward 50-60% would cause dramatic earnings decline and stock correction from $991B market cap [1]</w:t>
      </w:r>
    </w:p>
    <w:p>
      <w:pPr>
        <w:spacing w:before="40" w:after="40"/>
        <w:ind w:left="283"/>
      </w:pPr>
      <w:r>
        <w:rPr>
          <w:rFonts w:ascii="Calibri" w:hAnsi="Calibri"/>
          <w:b/>
          <w:color w:val="4A6B25"/>
          <w:sz w:val="20"/>
        </w:rPr>
        <w:t xml:space="preserve">2. </w:t>
      </w:r>
      <w:r>
        <w:rPr>
          <w:rFonts w:ascii="Calibri" w:hAnsi="Calibri"/>
          <w:b w:val="0"/>
          <w:color w:val="3A4A28"/>
          <w:sz w:val="20"/>
        </w:rPr>
        <w:t>AI spending slowdown signals — UBS survey showing 60% of businesses cutting AI spend, potential windfall profit tax legislation, and hyperscaler CapEx concentration in 4-5 customers create demand vulnerability if AI infrastructure ROI disappoints [2]</w:t>
      </w:r>
    </w:p>
    <w:p>
      <w:pPr>
        <w:spacing w:before="40" w:after="40"/>
        <w:ind w:left="283"/>
      </w:pPr>
      <w:r>
        <w:rPr>
          <w:rFonts w:ascii="Calibri" w:hAnsi="Calibri"/>
          <w:b/>
          <w:color w:val="4A6B25"/>
          <w:sz w:val="20"/>
        </w:rPr>
        <w:t xml:space="preserve">3. </w:t>
      </w:r>
      <w:r>
        <w:rPr>
          <w:rFonts w:ascii="Calibri" w:hAnsi="Calibri"/>
          <w:b w:val="0"/>
          <w:color w:val="3A4A28"/>
          <w:sz w:val="20"/>
        </w:rPr>
        <w:t>Competitive and geopolitical risk — Samsung/SK Hynix HBM competition, Chinese CXMT advancing in conventional memory, and potential U.S.-China trade tensions affecting Micron's access to Chinese markets (Micron was previously restricted in China)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Micron IS AI infrastructure — HBM is a critical, non-substitutable component in every AI accelerator, and AI workloads require 3x more memory wafers than traditional computing [1]. Micron is one of only three global HBM suppliers (Samsung, SK Hynix), forming an oligopoly with massive entry barriers. AI cannot disrupt Micron because AI cannot function without Micron's products. The HBM TAM exceeds $100B by 2027, and Micron's entire 2026 supply is sold out under binding agreements [1]. Market tightness for HBM and DRAM is expected to persist beyond 2027. However, emerging risks include: a UBS survey indicating 60% of businesses are cutting AI spending, potential windfall profit taxes on AI-focused memory companies, and Chinese competitor CXMT making advances in memory manufacturing — though CXMT remains multiple technology nodes behind in HBM [2]. AI Opportunity (1/1): Micron generates massive, quantifiable AI revenue — Q3 FY2026 revenue of $41.46B is overwhelmingly driven by AI-related demand, with HBM specifically contributing billions in premium-margin revenue at 84.6% gross margins [1]. Q4 guidance of $50B with ~86% gross margins reflects AI as the dominant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Micron Technology Q3 FY2026 Earnings Release — Record Revenue $41.46B (+346% YoY), GAAP Net Income $28.24B, EPS $24.67, Gross Margin 84.6%, Q4 Guidance $50B Revenue, June 24, 2026</w:t>
      </w:r>
    </w:p>
    <w:p>
      <w:pPr>
        <w:spacing w:before="20" w:after="20"/>
        <w:ind w:left="170"/>
      </w:pPr>
      <w:r>
        <w:rPr>
          <w:rFonts w:ascii="Calibri" w:hAnsi="Calibri"/>
          <w:b/>
          <w:color w:val="4A6B25"/>
          <w:sz w:val="15"/>
        </w:rPr>
        <w:t xml:space="preserve">2. </w:t>
      </w:r>
      <w:r>
        <w:rPr>
          <w:rFonts w:ascii="Calibri" w:hAnsi="Calibri"/>
          <w:b w:val="0"/>
          <w:color w:val="3A4A28"/>
          <w:sz w:val="17"/>
        </w:rPr>
        <w:t>Micron Technology AI Risk and Competitive Analysis — UBS AI Spending Survey, CXMT Competition, Windfall Profit Tax Discussion, Forbes, SeekingAlpha, Simply Wall St, 2026</w:t>
      </w:r>
    </w:p>
    <w:p>
      <w:pPr>
        <w:spacing w:before="20" w:after="20"/>
        <w:ind w:left="170"/>
      </w:pPr>
      <w:r>
        <w:rPr>
          <w:rFonts w:ascii="Calibri" w:hAnsi="Calibri"/>
          <w:b/>
          <w:color w:val="4A6B25"/>
          <w:sz w:val="15"/>
        </w:rPr>
        <w:t xml:space="preserve">3. </w:t>
      </w:r>
      <w:r>
        <w:rPr>
          <w:rFonts w:ascii="Calibri" w:hAnsi="Calibri"/>
          <w:b w:val="0"/>
          <w:color w:val="3A4A28"/>
          <w:sz w:val="17"/>
        </w:rPr>
        <w:t>Micron Technology Corporate Website — Leadership (CEO Sanjay Mehrotra), Mission, Culture, Psychological Safety Training, Great Place to Work Certification (79%),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Micron Technology ESG Controversy — Shareholder Diversity Lawsuit, MSCI ESG Rating A, ETF Trends ESG Case Study, 2025-2026</w:t>
      </w:r>
    </w:p>
    <w:p>
      <w:pPr>
        <w:spacing w:before="20" w:after="20"/>
        <w:ind w:left="170"/>
      </w:pPr>
      <w:r>
        <w:rPr>
          <w:rFonts w:ascii="Calibri" w:hAnsi="Calibri"/>
          <w:b/>
          <w:color w:val="4A6B25"/>
          <w:sz w:val="15"/>
        </w:rPr>
        <w:t xml:space="preserve">5. </w:t>
      </w:r>
      <w:r>
        <w:rPr>
          <w:rFonts w:ascii="Calibri" w:hAnsi="Calibri"/>
          <w:b w:val="0"/>
          <w:color w:val="3A4A28"/>
          <w:sz w:val="17"/>
        </w:rPr>
        <w:t>GuruFocus, StockAnalysis, WallStreetZen — MU Key Statistics: Stock Price $877.57, Forward P/E 5.61, PEG 0.03, Market Cap $991B,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