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NPT</w:t>
      </w:r>
      <w:r>
        <w:rPr>
          <w:rFonts w:ascii="Calibri" w:hAnsi="Calibri"/>
          <w:b/>
          <w:color w:val="1A2010"/>
          <w:sz w:val="40"/>
        </w:rPr>
        <w:t xml:space="preserve">  Texxon Holding Limited</w:t>
      </w:r>
    </w:p>
    <w:p>
      <w:pPr>
        <w:spacing w:after="120"/>
      </w:pPr>
      <w:r>
        <w:rPr>
          <w:rFonts w:ascii="Calibri" w:hAnsi="Calibri"/>
          <w:b/>
          <w:color w:val="6E8450"/>
          <w:sz w:val="18"/>
        </w:rPr>
        <w:t>GROWTH SLEEVE · 2026-08-10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Chemicals · NASDAQ · China</w:t>
      </w:r>
    </w:p>
    <w:p>
      <w:pPr>
        <w:spacing w:after="80"/>
      </w:pPr>
      <w:r>
        <w:rPr>
          <w:rFonts w:ascii="Calibri" w:hAnsi="Calibri"/>
          <w:b w:val="0"/>
          <w:color w:val="3A4A28"/>
          <w:sz w:val="20"/>
        </w:rPr>
        <w:t>Texxon Holding Limited is a supply chain management company based in Shanghai, China, operating through two segments: Supply Chain Trading and Plastic Manufacturing. The company distributes basic chemicals including alcohols, aromatic chemical raw materials, and plastic particles used in pipelines, packaging, and agricultural membranes. Texxon IPO'd on the Nasdaq Capital Market in October 2025 and commissioned a 600,000-ton annual capacity polystyrene manufacturing facility in Henan province in June 2026.</w:t>
      </w:r>
    </w:p>
    <w:p>
      <w:r>
        <w:rPr>
          <w:rFonts w:ascii="Calibri" w:hAnsi="Calibri"/>
          <w:b/>
          <w:color w:val="6E8450"/>
          <w:sz w:val="18"/>
        </w:rPr>
        <w:t>https://ir.npt-cn.com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Texxon is a commodity chemicals and plastics distributor with no meaningful product innovation or business model transformation — the core trading business looks the same as at founding in 2011 [1]. AI Deployment (0/2): No AI deployment or strategy is evident in any public filings or management commentary. The company operates a manual supply chain trading model serving Chinese SMEs [1]. Market Share (0/2): Commodity participant in the fragmented Chinese chemicals distribution market with no evidence of category leadership or share gains [1]. Product Pipeline (1/2): The 600,000-ton polystyrene manufacturing facility in Henan commenced production in June 2026, representing a genuine vertical integration move from distribution into manufacturing [2]. R&amp;D Intensity (0/1): No R&amp;D spending is reported; the company is a distributor and nascent manufacturer with no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is found on the company's website or public materials. Texxon does not articulate why it exists beyond trading chemicals and plastics for profit [1]. Community Impact (0/2): No evidence of charitable giving, community programs, or social investment in any filings or press releases. Employee Retention (0/2): No employee retention, tenure, or cultural data is available. The company provides no Glassdoor data and minimal organizational disclosure as a recently IPO'd Chinese company [1]. Insider Buying (1/2): CEO Hui Xu directly owns 45.79% of outstanding shares, representing significant alignment, though this ownership is primarily from pre-IPO founding stakes rather than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87,313 shares multiplied by stock price of $4.20 equals daily dollar volume of approximately $367,000, which is well below the $1,000,000 minimum threshold [4]. Infrastructure score is automatically set to 0. Underlying metrics are also extremely weak: profit margin of -0.77%, ROE is negative (net loss of $2.8M), revenue declining 22.9% YoY from $797M to $615M TTM, gross margin of only 0.33%, free cash flow of -$42.8M, and total debt of $64.6M against only $0.4M in cash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Texxon Holding is a young, financially stressed Chinese chemicals distributor that plays a clearly finite game. The company IPO'd in October 2025 and has no articulated purpose beyond growing its trading business. Revenue declined 22.9% YoY, the company is operating at a net loss, and the strategic pivot into polystyrene manufacturing — while directionally interesting — appears driven by revenue necessity rather than a larger vision. There is insufficient corporate history or public disclosure to evaluate most infinite game dimensions.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Texxon exists to trade chemicals and plastics for profit. There is no articulated vision of a better future, no purpose beyond commercial activity, and no evidence that leadership has considered why the company exists beyond shareholder value [1]. This is a purely transactional business with no mission orientation.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is available on organizational trust, employee culture, or team dynamics. The company provides minimal disclosure on workforce composition or management practices. As a recently IPO'd Chinese company with concentrated 45.79% CEO ownership, the governance structure suggests top-down control rather than distributed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mindset data is available. Management commentary focuses on market conditions and operational challenges rather than competitive dynamics or learning from rivals [1][2]. Insufficient disclosure to evaluate competitive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Texxon's move from pure distribution into polystyrene manufacturing with the 600,000-ton Henan facility represents genuine vertical integration — the company is evolving from a capital-light intermediary to a capital-intensive manufacturer [2]. This is a meaningful strategic shift, though it is incremental rather than transformative, and appears driven by margin pressure in the trading business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Henan factory investment is a standard vertical integration move rather than a bold long-term bet. The company's financial distress — declining revenue, net losses, negative free cash flow — suggests reactive rather than proactive leadership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Texxon Holding is a small-cap Chinese chemicals and plastics supply chain company that IPO'd on Nasdaq in October 2025. The company generates $615M in TTM revenue primarily from distributing basic chemicals and plastic particles to Chinese SMEs, and recently commenced production at a 600,000-ton polystyrene manufacturing facility in Henan province [1][2]. The plastic particles segment delivered 40.1% revenue growth in H1 FY2026, suggesting the manufacturing pivot may diversify the revenue base away from commodity trading [1].</w:t>
      </w:r>
    </w:p>
    <w:p>
      <w:pPr>
        <w:spacing w:after="120"/>
      </w:pPr>
      <w:r>
        <w:rPr>
          <w:rFonts w:ascii="Calibri" w:hAnsi="Calibri"/>
          <w:b w:val="0"/>
          <w:color w:val="3A4A28"/>
          <w:sz w:val="20"/>
        </w:rPr>
        <w:t>The bear case is overwhelming. Revenue declined 22.9% YoY to $615M TTM as the Chinese chemical industry faces soft demand, heightened competition, and raw material cost volatility [1]. The company is operating at a net loss with -0.77% profit margin, -$42.8M in free cash flow, and only $0.4M in cash against $64.6M in total debt [4]. The stock fails the IOWN liquidity floor with daily dollar volume of only $367K — far below the $1M threshold. The 52-week price range of $1.14 to $22.38 reflects extreme volatility characteristic of micro-cap Chinese reverse merger/IPO stocks. With no analyst coverage, minimal financial disclosure, and concentrated insider ownership, this stock carries unacceptable risk for the IOWN framework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Henan polystyrene factory ramp to full 600,000-ton capacity could improve margins by capturing manufacturing spread versus pure distribution</w:t>
      </w:r>
    </w:p>
    <w:p>
      <w:pPr>
        <w:spacing w:before="40" w:after="40"/>
        <w:ind w:left="283"/>
      </w:pPr>
      <w:r>
        <w:rPr>
          <w:rFonts w:ascii="Calibri" w:hAnsi="Calibri"/>
          <w:b/>
          <w:color w:val="4A6B25"/>
          <w:sz w:val="20"/>
        </w:rPr>
        <w:t xml:space="preserve">2. </w:t>
      </w:r>
      <w:r>
        <w:rPr>
          <w:rFonts w:ascii="Calibri" w:hAnsi="Calibri"/>
          <w:b w:val="0"/>
          <w:color w:val="3A4A28"/>
          <w:sz w:val="20"/>
        </w:rPr>
        <w:t>Chinese chemical industry demand recovery could reverse the 22.9% revenue decline if downstream manufacturing activity stabilizes</w:t>
      </w:r>
    </w:p>
    <w:p>
      <w:pPr>
        <w:spacing w:before="40" w:after="40"/>
        <w:ind w:left="283"/>
      </w:pPr>
      <w:r>
        <w:rPr>
          <w:rFonts w:ascii="Calibri" w:hAnsi="Calibri"/>
          <w:b/>
          <w:color w:val="4A6B25"/>
          <w:sz w:val="20"/>
        </w:rPr>
        <w:t xml:space="preserve">3. </w:t>
      </w:r>
      <w:r>
        <w:rPr>
          <w:rFonts w:ascii="Calibri" w:hAnsi="Calibri"/>
          <w:b w:val="0"/>
          <w:color w:val="3A4A28"/>
          <w:sz w:val="20"/>
        </w:rPr>
        <w:t>Plastic particles segment's 40.1% revenue growth, if sustained, could shift the revenue mix toward higher-margin manufactured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$367K fails the IOWN liquidity floor, making the stock practically untradeable for institutional portfolios without severe market impact</w:t>
      </w:r>
    </w:p>
    <w:p>
      <w:pPr>
        <w:spacing w:before="40" w:after="40"/>
        <w:ind w:left="283"/>
      </w:pPr>
      <w:r>
        <w:rPr>
          <w:rFonts w:ascii="Calibri" w:hAnsi="Calibri"/>
          <w:b/>
          <w:color w:val="4A6B25"/>
          <w:sz w:val="20"/>
        </w:rPr>
        <w:t xml:space="preserve">2. </w:t>
      </w:r>
      <w:r>
        <w:rPr>
          <w:rFonts w:ascii="Calibri" w:hAnsi="Calibri"/>
          <w:b w:val="0"/>
          <w:color w:val="3A4A28"/>
          <w:sz w:val="20"/>
        </w:rPr>
        <w:t>Net loss, negative free cash flow of -$42.8M, and $64.6M debt against $0.4M cash create existential financial risk — the company may need dilutive capital raises to fund operations and the Henan factory</w:t>
      </w:r>
    </w:p>
    <w:p>
      <w:pPr>
        <w:spacing w:before="40" w:after="40"/>
        <w:ind w:left="283"/>
      </w:pPr>
      <w:r>
        <w:rPr>
          <w:rFonts w:ascii="Calibri" w:hAnsi="Calibri"/>
          <w:b/>
          <w:color w:val="4A6B25"/>
          <w:sz w:val="20"/>
        </w:rPr>
        <w:t xml:space="preserve">3. </w:t>
      </w:r>
      <w:r>
        <w:rPr>
          <w:rFonts w:ascii="Calibri" w:hAnsi="Calibri"/>
          <w:b w:val="0"/>
          <w:color w:val="3A4A28"/>
          <w:sz w:val="20"/>
        </w:rPr>
        <w:t>Concentrated 45.79% CEO ownership in a recently IPO'd Chinese company with minimal disclosure and no analyst coverage presents significant governance and transparency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Texxon's core business involves physical commodity trading, chemical distribution, and polystyrene manufacturing — activities that require physical logistics, warehouse operations, raw material handling, and factory operations that AI cannot substitute [1][2]. The business is structurally protected: AI cannot move chemical drums, operate polystyrene extrusion lines, or replace the physical supply chain connecting upstream petrochemical producers with downstream SME customers in China. However, AI-powered procurement platforms and automated trading systems could erode the company's intermediary role in supply chain trading over time, limiting the score below the IMMUNE threshold. AI Opportunity (0/1): No AI revenue or AI-powered products are evident. The company operates a traditional distribution and manufacturing model with no disclosed AI initiatives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Texxon Holding H1 FY2026 Unaudited Financial Results — PR Newswire / StockTitan, June 2026</w:t>
      </w:r>
    </w:p>
    <w:p>
      <w:pPr>
        <w:spacing w:before="20" w:after="20"/>
        <w:ind w:left="170"/>
      </w:pPr>
      <w:r>
        <w:rPr>
          <w:rFonts w:ascii="Calibri" w:hAnsi="Calibri"/>
          <w:b/>
          <w:color w:val="4A6B25"/>
          <w:sz w:val="15"/>
        </w:rPr>
        <w:t xml:space="preserve">2. </w:t>
      </w:r>
      <w:r>
        <w:rPr>
          <w:rFonts w:ascii="Calibri" w:hAnsi="Calibri"/>
          <w:b w:val="0"/>
          <w:color w:val="3A4A28"/>
          <w:sz w:val="17"/>
        </w:rPr>
        <w:t>Texxon Holding 600,000-ton Polystyrene Project Safety and Regulatory Milestones — StockTitan, December 2025</w:t>
      </w:r>
    </w:p>
    <w:p>
      <w:pPr>
        <w:spacing w:before="20" w:after="20"/>
        <w:ind w:left="170"/>
      </w:pPr>
      <w:r>
        <w:rPr>
          <w:rFonts w:ascii="Calibri" w:hAnsi="Calibri"/>
          <w:b/>
          <w:color w:val="4A6B25"/>
          <w:sz w:val="15"/>
        </w:rPr>
        <w:t xml:space="preserve">3. </w:t>
      </w:r>
      <w:r>
        <w:rPr>
          <w:rFonts w:ascii="Calibri" w:hAnsi="Calibri"/>
          <w:b w:val="0"/>
          <w:color w:val="3A4A28"/>
          <w:sz w:val="17"/>
        </w:rPr>
        <w:t>Texxon Holding Company Profile and Insider Ownership — StockAnalysis, Investing.com,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NPT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