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NTRS</w:t>
      </w:r>
      <w:r>
        <w:rPr>
          <w:rFonts w:ascii="Calibri" w:hAnsi="Calibri"/>
          <w:b/>
          <w:color w:val="1A2010"/>
          <w:sz w:val="40"/>
        </w:rPr>
        <w:t xml:space="preserve">  Northern Trust Corporation</w:t>
      </w:r>
    </w:p>
    <w:p>
      <w:pPr>
        <w:spacing w:after="120"/>
      </w:pPr>
      <w:r>
        <w:rPr>
          <w:rFonts w:ascii="Calibri" w:hAnsi="Calibri"/>
          <w:b/>
          <w:color w:val="6E8450"/>
          <w:sz w:val="18"/>
        </w:rPr>
        <w:t>GROWTH SLEEVE · 2026-08-07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&amp; Custody Banks · NASDAQ · United States</w:t>
      </w:r>
    </w:p>
    <w:p>
      <w:pPr>
        <w:spacing w:after="80"/>
      </w:pPr>
      <w:r>
        <w:rPr>
          <w:rFonts w:ascii="Calibri" w:hAnsi="Calibri"/>
          <w:b w:val="0"/>
          <w:color w:val="3A4A28"/>
          <w:sz w:val="20"/>
        </w:rPr>
        <w:t>Northern Trust Corporation is a financial holding company providing wealth management, asset servicing, asset management, and banking solutions for corporations, institutions, families, and individuals. Founded in 1889 and headquartered in Chicago, it operates through Asset Servicing and Wealth Management segments, managing $14.9 trillion in assets under custody as of year-end 2025.</w:t>
      </w:r>
    </w:p>
    <w:p>
      <w:r>
        <w:rPr>
          <w:rFonts w:ascii="Calibri" w:hAnsi="Calibri"/>
          <w:b/>
          <w:color w:val="6E8450"/>
          <w:sz w:val="18"/>
        </w:rPr>
        <w:t>25,000 Employees · https://www.northerntrust.com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Northern Trust delivered Q2 2026 revenue growth of 13% with EPS of $4.23 (up 40% YoY excluding notable items), driven by 10% trust fee growth, 11% net interest income growth, and 69% growth in capital markets revenue, and management lifted its full-year 2026 revenue growth target from mid-single digits to 9-10% [1]. Global family office and ultra-high-net-worth expansion represents a meaningful growth extension of the core trust model. AI Deployment (1/2): Northern Trust's 2026 peer study found that nearly 70% of asset owners cite 'harnessing the power of AI' as a top operational challenge, and the company is actively incorporating AI into back- and middle-office operations and data/analytics services for asset owners, though no company-specific AI revenue or savings figure was disclosed [2]. Market Share (2/2): Wealth AUM rose to $534B, up 7% sequentially and 14% YoY, with global family office revenue up 9% in H1 2026 — specific, above-market share gains in a targeted high-margin niche [1]. Pipeline (1/2): Continued build-out of digital family office and asset servicing platforms, but no specific named next-generation product with a firm revenue timeline was found. R&amp;D Intensity (0/1): No data quantifying technology/R&amp;D spend as a percentage of revenue relative to custody bank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Northern Trust's stated values of service, expertise, and integrity, in place since its 1889 founding, are consistently referenced by CEO Michael O'Grady but read as standard trust-bank language rather than a distinctively articulated purpose [3]. Community Impact (2/2): Northern Trust contributed $16M in charitable giving in 2025, employees logged 121,000 volunteer hours across 2,000+ nonprofits, the company has donated $170M+ over the past decade, and it was named to The Civic 50 for 2026 — specific, sustained, dollar-quantified community investment [4]. Employee Retention (0/2): No specific tenure or turnover data was found in research; general commentary notes that employee engagement supports retention amid the demands of AI-driven servicing, but without concrete figures. Insider Buying (1/2): Reports reference a notable insider share purchase in July 2026, but detail on the size and breadth of buying versus routine selling activity elsewhere (e.g., other executive Form 4 filings) was insufficient to score this as meaningful net buying by multiple executives.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Northern Trust screens as a top-decile financial: D/E of 40% is well below the 70% target, ROE of 17.01% clears the 15% target, and profit margin of 24.47% clears the 20% target [1]. Revenue growth YoY of 15.7% and profit margin both score at the ceiling, while the 5-year revenue CAGR of approximately 5.5% is solidly positive though short of the 10% target. Forward P/E of 15.54 is comfortably below the 20 target, and Forward PEG of 1.01 is right at the 1.0 target — an excellent combination of growth and reasonable valuation for a diversified financial institution. Liquidity is not a concern: $184.14 stock price times ~1.12M average daily volume clears roughly $206M in daily dollar volume, far above the $1M floor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Northern Trust shows real infinite-game elements — a 137-year-old fiduciary purpose, sustained multi-decade charitable investment, and a genuine cost paid (a $160M mandate loss) for a governance stance — but the underlying motivation for that stance is ambiguous, cultural trust signals are only average, and the company has not fundamentally reinvented its core trust/custody business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Northern Trust's founding purpose as a trusted fiduciary steward of institutional and personal wealth has persisted since 1889 through multiple financial crises, and 'service, expertise, integrity' is consistently invoked by leadership, but the language remains close to standard trust-bank framing rather than a distinctive, bigger cause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volunteering data (121,000 hours in 2025) and Civic 50 recognition suggest an engaged workforce, but no specific tenure, turnover, or psychological-safety data was found to support a high-trust rating beyond an industry-average baseline [4].</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Northern Trust operates in an oligopolistic custody market alongside State Street, BNY Mellon, and JPMorgan; its peer studies and benchmarking publications on AI and digital disruption reflect a posture of learning from and responding to industry-wide competitive pressure rather than zero-sum market-share language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Northern Trust has extended into global family office services, digital asset servicing, and AI-driven analytics for asset owners, but the core business — trust, custody, and wealth management — remains fundamentally the same model the company has run for over a century, an incremental rather than transformative adaptation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Northern Trust Asset Management's 2025 withdrawal from the Net-Zero Asset Managers initiative and Climate Action 100+ carried a real, quantifiable cost — a $160M passive equity mandate was subsequently transferred to Amundi — demonstrating leadership was willing to accept a concrete financial loss for its position, though the timing alongside broader US asset-manager departures from climate coalitions under political pressure makes the underlying motivation ambiguous rather than clearly principled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Northern Trust is compounding through an accelerating growth phase: Q2 2026 revenue rose 13% YoY with EPS up 40% (excluding notable items) to $4.23, driven by 10% trust fee growth, 11% net interest income growth, and a striking 69% jump in capital markets revenue, prompting management to raise full-year 2026 revenue growth guidance to 9-10% from mid-single digits [1]. Wealth AUM reached $534B (+14% YoY) with wealth management pre-tax margin at 37%, and the mechanical infrastructure score of 9/10 reflects a rare combination for a financial institution — ROE of 17.01% above target, D/E of just 40%, and a Forward PEG of 1.01 that signals the market has not fully priced in the growth reacceleration. The $14.9T custody base generates highly recurring, capital-light fee revenue, and the firm's own research shows it is positioning to monetize AI-driven productivity gains in asset servicing rather than simply absorb the disruption [1][2].</w:t>
      </w:r>
    </w:p>
    <w:p>
      <w:pPr>
        <w:spacing w:after="120"/>
      </w:pPr>
      <w:r>
        <w:rPr>
          <w:rFonts w:ascii="Calibri" w:hAnsi="Calibri"/>
          <w:b w:val="0"/>
          <w:color w:val="3A4A28"/>
          <w:sz w:val="20"/>
        </w:rPr>
        <w:t>The offsetting risks are competitive scale and cultural execution. JPMorgan, State Street, and BNY Mellon are investing in AI and technology at a scale that Northern Trust's smaller revenue base may struggle to match over time, and nearly 70% of the firm's own asset-owner clients flag AI as their top operational challenge — a signal of industry-wide disruption risk to fee models, not just an opportunity [2]. The 2025 exit from Net-Zero Asset Managers and Climate Action 100+ cost the firm a real $160M mandate to Amundi, and while it demonstrates some willingness to accept financial cost for a position, the ambiguous motivation (aligned with a broader political-pressure-driven wave of exits) limits how much credit this earns as principled courage. Revenue remains partially tied to capital markets levels and interest rates, meaning a market downturn or aggressive rate cuts could dent the current earnings 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full-year 2026 revenue growth guidance of 9-10% (from mid-single digits) following a 13% Q2 revenue beat and 69% capital markets revenue growth</w:t>
      </w:r>
    </w:p>
    <w:p>
      <w:pPr>
        <w:spacing w:before="40" w:after="40"/>
        <w:ind w:left="283"/>
      </w:pPr>
      <w:r>
        <w:rPr>
          <w:rFonts w:ascii="Calibri" w:hAnsi="Calibri"/>
          <w:b/>
          <w:color w:val="4A6B25"/>
          <w:sz w:val="20"/>
        </w:rPr>
        <w:t xml:space="preserve">2. </w:t>
      </w:r>
      <w:r>
        <w:rPr>
          <w:rFonts w:ascii="Calibri" w:hAnsi="Calibri"/>
          <w:b w:val="0"/>
          <w:color w:val="3A4A28"/>
          <w:sz w:val="20"/>
        </w:rPr>
        <w:t>Wealth AUM momentum — $534B and up 14% YoY — with continued global family office and ultra-high-net-worth expansion generating above-market share gains</w:t>
      </w:r>
    </w:p>
    <w:p>
      <w:pPr>
        <w:spacing w:before="40" w:after="40"/>
        <w:ind w:left="283"/>
      </w:pPr>
      <w:r>
        <w:rPr>
          <w:rFonts w:ascii="Calibri" w:hAnsi="Calibri"/>
          <w:b/>
          <w:color w:val="4A6B25"/>
          <w:sz w:val="20"/>
        </w:rPr>
        <w:t xml:space="preserve">3. </w:t>
      </w:r>
      <w:r>
        <w:rPr>
          <w:rFonts w:ascii="Calibri" w:hAnsi="Calibri"/>
          <w:b w:val="0"/>
          <w:color w:val="3A4A28"/>
          <w:sz w:val="20"/>
        </w:rPr>
        <w:t>AI-driven productivity gains in back-office asset servicing and data/analytics, where Northern Trust is positioning ahead of the roughly 70% of asset owners citing AI as their top operational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technology scale gap versus JPMorgan, State Street, and BNY Mellon, all investing in AI at levels that could erode Northern Trust's fee-based custody and servicing margins over time</w:t>
      </w:r>
    </w:p>
    <w:p>
      <w:pPr>
        <w:spacing w:before="40" w:after="40"/>
        <w:ind w:left="283"/>
      </w:pPr>
      <w:r>
        <w:rPr>
          <w:rFonts w:ascii="Calibri" w:hAnsi="Calibri"/>
          <w:b/>
          <w:color w:val="4A6B25"/>
          <w:sz w:val="20"/>
        </w:rPr>
        <w:t xml:space="preserve">2. </w:t>
      </w:r>
      <w:r>
        <w:rPr>
          <w:rFonts w:ascii="Calibri" w:hAnsi="Calibri"/>
          <w:b w:val="0"/>
          <w:color w:val="3A4A28"/>
          <w:sz w:val="20"/>
        </w:rPr>
        <w:t>Revenue sensitivity to capital markets activity and interest rates — the 69% capital markets revenue surge and NII growth are less durable than core trust fees if market conditions normalize</w:t>
      </w:r>
    </w:p>
    <w:p>
      <w:pPr>
        <w:spacing w:before="40" w:after="40"/>
        <w:ind w:left="283"/>
      </w:pPr>
      <w:r>
        <w:rPr>
          <w:rFonts w:ascii="Calibri" w:hAnsi="Calibri"/>
          <w:b/>
          <w:color w:val="4A6B25"/>
          <w:sz w:val="20"/>
        </w:rPr>
        <w:t xml:space="preserve">3. </w:t>
      </w:r>
      <w:r>
        <w:rPr>
          <w:rFonts w:ascii="Calibri" w:hAnsi="Calibri"/>
          <w:b w:val="0"/>
          <w:color w:val="3A4A28"/>
          <w:sz w:val="20"/>
        </w:rPr>
        <w:t>Governance ambiguity from the 2025 climate coalition exits, which cost a $160M mandate and raise questions about whether strategic decisions are principle-driven or reactive to political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Northern Trust's custody, asset servicing, and trust businesses carry meaningful defensive moats — extremely high client switching costs (custody migrations take 12-18 months), regulatory licensing requirements, and proprietary data on $14.9T in assets under custody — but back- and middle-office administrative functions that have long been custody-bank labor centers face real automation pressure, and nearly 70% of the firm's own asset-owner clients cite AI as a top operational challenge [2]. Larger rivals JPMorgan and State Street are investing at a scale Northern Trust's revenue base may not match, creating relative competitive risk even though the core fiduciary relationship model itself is not directly substitutable by AI. AI Opportunity (1/1): Northern Trust is actively deploying AI into back-office operations and client data/analytics, and its 2026 capital markets assumptions forecast AI-driven strength in private markets, positioning the firm to monetize AI-enabled productivity gains rather than simply absorb cost pressure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MIXED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Northern Trust Q2 2026 Earnings Call Highlights and Transcript — GuruFocus, Motley Fool, BigGo Finance, ChartMill, July 2026</w:t>
      </w:r>
    </w:p>
    <w:p>
      <w:pPr>
        <w:spacing w:before="20" w:after="20"/>
        <w:ind w:left="170"/>
      </w:pPr>
      <w:r>
        <w:rPr>
          <w:rFonts w:ascii="Calibri" w:hAnsi="Calibri"/>
          <w:b/>
          <w:color w:val="4A6B25"/>
          <w:sz w:val="15"/>
        </w:rPr>
        <w:t xml:space="preserve">2. </w:t>
      </w:r>
      <w:r>
        <w:rPr>
          <w:rFonts w:ascii="Calibri" w:hAnsi="Calibri"/>
          <w:b w:val="0"/>
          <w:color w:val="3A4A28"/>
          <w:sz w:val="17"/>
        </w:rPr>
        <w:t>Northern Trust Peer Study on AI and Digital Disruption for Asset Owners — BusinessWire, Northern Trust Asset Management Capital Markets Assumptions, 2026</w:t>
      </w:r>
    </w:p>
    <w:p>
      <w:pPr>
        <w:spacing w:before="20" w:after="20"/>
        <w:ind w:left="170"/>
      </w:pPr>
      <w:r>
        <w:rPr>
          <w:rFonts w:ascii="Calibri" w:hAnsi="Calibri"/>
          <w:b/>
          <w:color w:val="4A6B25"/>
          <w:sz w:val="15"/>
        </w:rPr>
        <w:t xml:space="preserve">3. </w:t>
      </w:r>
      <w:r>
        <w:rPr>
          <w:rFonts w:ascii="Calibri" w:hAnsi="Calibri"/>
          <w:b w:val="0"/>
          <w:color w:val="3A4A28"/>
          <w:sz w:val="17"/>
        </w:rPr>
        <w:t>Northern Trust Corporate Values and History — northerntrust.com,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Northern Trust 2025 Philanthropic Impact Report and Civic 50 Recognition — StockTitan, August 2026</w:t>
      </w:r>
    </w:p>
    <w:p>
      <w:pPr>
        <w:spacing w:before="20" w:after="20"/>
        <w:ind w:left="170"/>
      </w:pPr>
      <w:r>
        <w:rPr>
          <w:rFonts w:ascii="Calibri" w:hAnsi="Calibri"/>
          <w:b/>
          <w:color w:val="4A6B25"/>
          <w:sz w:val="15"/>
        </w:rPr>
        <w:t xml:space="preserve">5. </w:t>
      </w:r>
      <w:r>
        <w:rPr>
          <w:rFonts w:ascii="Calibri" w:hAnsi="Calibri"/>
          <w:b w:val="0"/>
          <w:color w:val="3A4A28"/>
          <w:sz w:val="17"/>
        </w:rPr>
        <w:t>Northern Trust Loses $160 Million Mandate to Amundi Over Exit from Climate Groups — ESG Today,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NTRS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