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NU</w:t>
      </w:r>
      <w:r>
        <w:rPr>
          <w:rFonts w:ascii="Calibri" w:hAnsi="Calibri"/>
          <w:b/>
          <w:color w:val="1A2010"/>
          <w:sz w:val="40"/>
        </w:rPr>
        <w:t xml:space="preserve">  Nu Holdings Ltd.</w:t>
      </w:r>
    </w:p>
    <w:p>
      <w:pPr>
        <w:spacing w:after="120"/>
      </w:pPr>
      <w:r>
        <w:rPr>
          <w:rFonts w:ascii="Calibri" w:hAnsi="Calibri"/>
          <w:b/>
          <w:color w:val="6E8450"/>
          <w:sz w:val="18"/>
        </w:rPr>
        <w:t>GROWTH SLEEVE · 2026-08-15 · Inspire: 31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NYSE · Brazil</w:t>
      </w:r>
    </w:p>
    <w:p>
      <w:pPr>
        <w:spacing w:after="80"/>
      </w:pPr>
      <w:r>
        <w:rPr>
          <w:rFonts w:ascii="Calibri" w:hAnsi="Calibri"/>
          <w:b w:val="0"/>
          <w:color w:val="3A4A28"/>
          <w:sz w:val="20"/>
        </w:rPr>
        <w:t>Nu Holdings operates the world's largest digital banking platform by customer count, serving 139 million customers across Brazil, Mexico, and Colombia. The company offers digital bank accounts, credit cards, personal loans, investments, insurance, and a growing suite of financial products through a mobile-first, AI-powered platform that has disrupted traditional banking in Latin America. Q2 2026 marked the company's first-ever billion-dollar profit quarter, with net income of $1.06B (+49% YoY) on revenue of $5.9B (+39% YoY).</w:t>
      </w:r>
    </w:p>
    <w:p>
      <w:r>
        <w:rPr>
          <w:rFonts w:ascii="Calibri" w:hAnsi="Calibri"/>
          <w:b/>
          <w:color w:val="6E8450"/>
          <w:sz w:val="18"/>
        </w:rPr>
        <w:t>9,000 Employees · https://nubank.com.br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(3/3): Nubank added roughly 4 million customers in Q2 2026 alone to reach 139 million globally, with Mexico crossing 16 million customers and Colombia surpassing 5 million — continued proof that the full-stack banking platform (accounts, credit, insurance, investments) scales across new geographies [1]. AI Deployment (2/2): nuFormer, Nubank's proprietary self-supervised foundation model, safely extends credit to customers less-granular models would exclude, and Nubank was ranked #1 in the 2026 Evident AI Index for banks in Latin America, with leadership tracking prototyping-tool adoption company-wide [2]. Market Share Leadership (2/2): Nubank remains the largest digital bank globally by customers and the dominant digital player in Brazil. Product Pipeline (1/2): The 'Three Act Strategy' targets a global AI-driven digital banking model, and the OCC granted conditional approval in January 2026 for a US de novo national bank charter, though the launch timeline remains unconfirmed [2]. R&amp;D Intensity (0/1): Technology spend is significant but Nubank still runs comparatively lean engineering teams versus revenue scale.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'Fight complexity to empower people' continues to be validated by execution — 139 million customers and continued zero-fee product design trace directly to the mission — but it remains untested through a founder-to-successor transition [2]. Community Impact (1/2): The core business of banking the underbanked across three Latin American countries remains a substantive social contribution, formalized through the Nu Impacto ESG framework. Employee Retention (1/2): Nubank continues to attract senior talent from Google, Amazon, and Shopify, but the June 2026 surprise exit of long-tenured CFO Guilherme Lago (to a Special Advisor role, replaced by Rob Livingston) amid a tougher Brazilian credit cycle introduces some retention uncertainty at the top [3]. Insider Buying (1/2): Founder David Vélez remains actively engaged as CEO and maintains significant equity, though specific recent insider purchase data is limited.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from financial metrics. D/E of 45% (score 1.0), ROE of 33% (score 1.0), TTM revenue growth of 44.3% (score 1.0), ~69.4% 4-year revenue CAGR (score 1.0), Forward P/E of 15.91 (score 1.0), TTM profit margin of 42.73% (score 1.0), and Forward PEG of 0.45 (score 1.0, 2x weight) — every available metric clears its target [4]. Q2 2026 was Nu's first-ever billion-dollar net income quarter ($1.06B, +49% YoY) on $5.9B revenue (+39% YoY), with net interest margin expanding 180bps to 22.9% [1]. Weighted sum is effectively 10/10 of total weight units. Liquidity floor is cleared by an enormous margin at roughly $2.4B in average daily dollar volume ($15.23 price × 156.4M shares).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Nubank continues to demonstrate genuine purpose in democratizing Latin American financial access, backed by a first-ever billion-dollar profit quarter that validates the model at scale. The June 2026 CFO exit amid a tougher Brazilian credit cycle and the subsequent BofA downgrade introduce a note of leadership-transition uncertainty that tempers an otherwise strong infinite-game profile.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'Fight complexity to empower people' continues to guide product decisions — zero-fee accounts and continued geographic expansion into underbanked Mexico and Colombia trace directly to the founding cause [2]. The cause has not yet been tested through a founder-to-successor leadership transition.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revised down): Nubank's autonomy-driven, customer-obsessed culture persists, but the surprise June 2026 departure of long-tenured CFO Guilherme Lago — replaced by Rob Livingston — during a tougher Brazilian credit cycle, followed by a BofA downgrade citing the leadership change, signals a real trust and continuity question at the executive level that was not present at the prior screen [3].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Leadership's continued emphasis on customer outcomes over competitive destruction — and willingness to hire senior talent from incumbents and Big Tech rather than treat them purely as adversaries — keeps Nubank's competitive posture self-improvement oriented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US national bank charter pursuit (OCC conditional approval, January 2026) and the formal 'Three Act Strategy' toward a global AI-driven banking model represent real strategic extension beyond the original Brazil-only credit card business, though still an adjacency rather than a full reinvention [1][2].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Continued investment in US charter pursuit, Mexico/Colombia expansion, and proprietary AI infrastructure (nuFormer) — sustained even as the Brazilian credit cycle tightens and a CFO transition unfolds — reflects the same long-horizon conviction that built Nubank against Brazil's banking oligopoly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Nu Holdings just posted its first-ever billion-dollar profit quarter — $1.06B net income (+49% YoY) on $5.9B revenue (+39% YoY), with ROE of 33% and net interest margin expanding 180bps to 22.9% [1]. At a 15.91x forward P/E and 0.45 PEG ratio, Nu remains one of the cheapest high-growth financial platforms globally relative to its 44%+ revenue growth. Customer count reached 139 million, with Mexico (16M) and Colombia (5M+) still in early-penetration stages, and the OCC's conditional approval for a US national bank charter opens a multi-decade expansion runway beyond Latin America [1][2]. nuFormer's proprietary AI underwriting model and the #1 Evident AI Index ranking in Latin American banking AI reinforce a widening technology moat over both traditional banks and fintech challengers.</w:t>
      </w:r>
    </w:p>
    <w:p>
      <w:pPr>
        <w:spacing w:after="120"/>
      </w:pPr>
      <w:r>
        <w:rPr>
          <w:rFonts w:ascii="Calibri" w:hAnsi="Calibri"/>
          <w:b w:val="0"/>
          <w:color w:val="3A4A28"/>
          <w:sz w:val="20"/>
        </w:rPr>
        <w:t>The bear case centers on Brazilian macro exposure and a leadership transition at a sensitive moment. The June 2026 surprise departure of CFO Guilherme Lago — occurring alongside a 'tougher Brazilian credit cycle' — triggered a BofA downgrade to Underperform, and Nu has never been tested as a scaled lender through a severe Latin American recession [3]. The $32B+ credit portfolio's growth trajectory could face rising non-performing loans if Brazilian macro conditions deteriorate further, and currency translation risk (BRL to USD) remains structural. Competitive intensification from digitizing incumbents (Itaú, Bradesco) and the execution risk of a genuinely new US charter launch add further uncertainty to the next leg of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Mexico and Colombia customer growth continuing to compound off a 16M and 5M+ base respectively, in markets with materially lower banking penetration than Brazil [1]</w:t>
      </w:r>
    </w:p>
    <w:p>
      <w:pPr>
        <w:spacing w:before="40" w:after="40"/>
        <w:ind w:left="283"/>
      </w:pPr>
      <w:r>
        <w:rPr>
          <w:rFonts w:ascii="Calibri" w:hAnsi="Calibri"/>
          <w:b/>
          <w:color w:val="4A6B25"/>
          <w:sz w:val="20"/>
        </w:rPr>
        <w:t xml:space="preserve">2. </w:t>
      </w:r>
      <w:r>
        <w:rPr>
          <w:rFonts w:ascii="Calibri" w:hAnsi="Calibri"/>
          <w:b w:val="0"/>
          <w:color w:val="3A4A28"/>
          <w:sz w:val="20"/>
        </w:rPr>
        <w:t>US national bank charter progressing from OCC conditional approval toward an operating launch, opening the largest banking market globally to Nubank's platform [2]</w:t>
      </w:r>
    </w:p>
    <w:p>
      <w:pPr>
        <w:spacing w:before="40" w:after="40"/>
        <w:ind w:left="283"/>
      </w:pPr>
      <w:r>
        <w:rPr>
          <w:rFonts w:ascii="Calibri" w:hAnsi="Calibri"/>
          <w:b/>
          <w:color w:val="4A6B25"/>
          <w:sz w:val="20"/>
        </w:rPr>
        <w:t xml:space="preserve">3. </w:t>
      </w:r>
      <w:r>
        <w:rPr>
          <w:rFonts w:ascii="Calibri" w:hAnsi="Calibri"/>
          <w:b w:val="0"/>
          <w:color w:val="3A4A28"/>
          <w:sz w:val="20"/>
        </w:rPr>
        <w:t>nuFormer-driven credit box expansion and cross-sell into insurance and investment products lifting ARPAC across the 139 million customer base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CFO transition (Guilherme Lago to Rob Livingston) during a self-described 'tougher Brazilian credit cycle' triggered a BofA downgrade and raises near-term execution and continuity questions [3]</w:t>
      </w:r>
    </w:p>
    <w:p>
      <w:pPr>
        <w:spacing w:before="40" w:after="40"/>
        <w:ind w:left="283"/>
      </w:pPr>
      <w:r>
        <w:rPr>
          <w:rFonts w:ascii="Calibri" w:hAnsi="Calibri"/>
          <w:b/>
          <w:color w:val="4A6B25"/>
          <w:sz w:val="20"/>
        </w:rPr>
        <w:t xml:space="preserve">2. </w:t>
      </w:r>
      <w:r>
        <w:rPr>
          <w:rFonts w:ascii="Calibri" w:hAnsi="Calibri"/>
          <w:b w:val="0"/>
          <w:color w:val="3A4A28"/>
          <w:sz w:val="20"/>
        </w:rPr>
        <w:t>Brazilian macroeconomic volatility — currency depreciation, inflation, and potential credit cycle deterioration — remains untested for Nubank at its current lending scale</w:t>
      </w:r>
    </w:p>
    <w:p>
      <w:pPr>
        <w:spacing w:before="40" w:after="40"/>
        <w:ind w:left="283"/>
      </w:pPr>
      <w:r>
        <w:rPr>
          <w:rFonts w:ascii="Calibri" w:hAnsi="Calibri"/>
          <w:b/>
          <w:color w:val="4A6B25"/>
          <w:sz w:val="20"/>
        </w:rPr>
        <w:t xml:space="preserve">3. </w:t>
      </w:r>
      <w:r>
        <w:rPr>
          <w:rFonts w:ascii="Calibri" w:hAnsi="Calibri"/>
          <w:b w:val="0"/>
          <w:color w:val="3A4A28"/>
          <w:sz w:val="20"/>
        </w:rPr>
        <w:t>Competitive intensification from traditional Brazilian banks digitizing rapidly and Big Tech entering Latin American financial services could compress growth and margin advantages over time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Banking licenses, capital requirements, and deposit relationships remain structural moats AI cannot dissolve, and Nubank's digital-native architecture converts AI advances into a competitive weapon rather than a threat — the #1 ranking in the 2026 Evident AI Index for Latin American banking AI confirms Nubank is setting the pace, not chasing it [2]. Big Tech payment platforms remain a modest long-term competitive risk in emerging-market digital banking, but Nubank's regulatory and scale moat is deep. AI Opportunity (1/1): nuFormer directly extends the credit box — safely underwriting borrowers less-granular models would reject — while AI-supported infrastructure projects have cut up to a year off complex backend overhauls, and Nubank's 'Three Act Strategy' formally targets AI-driven financial planning tools as a 2026 product 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Nu Holdings Q2 2026 Financial Results — $5.9B revenue (+39% YoY), $1.06B net income (first billion-dollar profit quarter), 33% ROE, 139M customers — Nu International Newsroom, StockTitan, TradingKey, August 2026</w:t>
      </w:r>
    </w:p>
    <w:p>
      <w:pPr>
        <w:spacing w:before="20" w:after="20"/>
        <w:ind w:left="170"/>
      </w:pPr>
      <w:r>
        <w:rPr>
          <w:rFonts w:ascii="Calibri" w:hAnsi="Calibri"/>
          <w:b/>
          <w:color w:val="4A6B25"/>
          <w:sz w:val="15"/>
        </w:rPr>
        <w:t xml:space="preserve">2. </w:t>
      </w:r>
      <w:r>
        <w:rPr>
          <w:rFonts w:ascii="Calibri" w:hAnsi="Calibri"/>
          <w:b w:val="0"/>
          <w:color w:val="3A4A28"/>
          <w:sz w:val="17"/>
        </w:rPr>
        <w:t>Nubank AI Strategy — nuFormer proprietary foundation model, #1 2026 Evident AI Index ranking for Latin American banking AI, US national bank charter OCC conditional approval — Nu International, Klover.ai, 2026</w:t>
      </w:r>
    </w:p>
    <w:p>
      <w:pPr>
        <w:spacing w:before="20" w:after="20"/>
        <w:ind w:left="170"/>
      </w:pPr>
      <w:r>
        <w:rPr>
          <w:rFonts w:ascii="Calibri" w:hAnsi="Calibri"/>
          <w:b/>
          <w:color w:val="4A6B25"/>
          <w:sz w:val="15"/>
        </w:rPr>
        <w:t xml:space="preserve">3. </w:t>
      </w:r>
      <w:r>
        <w:rPr>
          <w:rFonts w:ascii="Calibri" w:hAnsi="Calibri"/>
          <w:b w:val="0"/>
          <w:color w:val="3A4A28"/>
          <w:sz w:val="17"/>
        </w:rPr>
        <w:t>Nu Holdings CFO transition (Rob Livingston replacing Guilherme Lago) and BofA downgrade to Underperform — TipRanks, StocksToTrade, June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NU (Nu Holdings) Key Statistics, Financial Ratios,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