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NVO</w:t>
      </w:r>
      <w:r>
        <w:rPr>
          <w:rFonts w:ascii="Calibri" w:hAnsi="Calibri"/>
          <w:b/>
          <w:color w:val="1A2010"/>
          <w:sz w:val="40"/>
        </w:rPr>
        <w:t xml:space="preserve">  Novo Nordisk A/S</w:t>
      </w:r>
    </w:p>
    <w:p>
      <w:pPr>
        <w:spacing w:after="120"/>
      </w:pPr>
      <w:r>
        <w:rPr>
          <w:rFonts w:ascii="Calibri" w:hAnsi="Calibri"/>
          <w:b/>
          <w:color w:val="6E8450"/>
          <w:sz w:val="18"/>
        </w:rPr>
        <w:t>DIVIDEND SLEEVE · 2026-08-15 · Inspire: -83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Denmark</w:t>
      </w:r>
    </w:p>
    <w:p>
      <w:pPr>
        <w:spacing w:after="80"/>
      </w:pPr>
      <w:r>
        <w:rPr>
          <w:rFonts w:ascii="Calibri" w:hAnsi="Calibri"/>
          <w:b w:val="0"/>
          <w:color w:val="3A4A28"/>
          <w:sz w:val="20"/>
        </w:rPr>
        <w:t>Novo Nordisk A/S is a global pharmaceutical company focused on diabetes care, obesity treatment, and rare diseases. The world leader in insulin and GLP-1 receptor agonists, with blockbuster products Ozempic (diabetes) and Wegovy (obesity). Q2 2026 results beat estimates with revenue of $12.1B and adjusted sales up 7% at constant exchange rates, and management raised full-year 2026 guidance to 0% to -6% CER (from -12% to -4% previously) as oral Wegovy surpassed 5 million U.S. prescriptions since launch. Now led by permanent CEO Maziar Mike Doustdar following the 2025 leadership transition. Founded in 1923 and headquartered in Bagsvaerd, Denmark.</w:t>
      </w:r>
    </w:p>
    <w:p>
      <w:r>
        <w:rPr>
          <w:rFonts w:ascii="Calibri" w:hAnsi="Calibri"/>
          <w:b/>
          <w:color w:val="6E8450"/>
          <w:sz w:val="18"/>
        </w:rPr>
        <w:t>67,900 Employees · https://www.novonordisk.com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Oral Wegovy has now exceeded 5 million U.S. prescriptions since its January 2026 launch, and Q2 2026 obesity franchise revenue in International Operations grew 37%, confirming the injectable-to-oral transition is scaling into a genuine second act for the GLP-1 franchise [1]. AI Deployment (2/2): Novo Nordisk formalized an enterprise AI partnership (OpenAI) explicitly aimed at compressing the traditional 15-year drug development timeline toward 5 years, with CEO Doustdar framing AI adoption in existential terms — 'we stay alive — or not — based on our ability to innovate' [2]. Market Share (2/2): Novo Nordisk remains the dominant leader in both GLP-1 obesity and diabetes treatment globally. Pipeline (1/2): CagriSema Phase 3 cardiovascular outcomes data and amycretin's oral development continue to advance, though the December 2024 CagriSema efficacy disappointment still shadows next-gen pipeline confidence. R&amp;D Intensity (1/1): R&amp;D spend remains well above pharmaceutical industry average, funding the AI-accelerated discovery push.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'Driving change to defeat diabetes and other serious chronic diseases' remains specific and continues to guide strategy under the now-settled leadership of CEO Doustdar, whose public framing of innovation as a survival imperative reinforces rather than dilutes the century-old purpose [2][3]. Community Impact (2/2): The Novo Nordisk Foundation continues to fund global health access and research at massive scale, and the company's 'Circular for Zero' environmental strategy targets net-zero emissions across the full value chain by 2045 [3]. Employee Retention (1/2): The 2025 governance upheaval has resolved into a stable, permanent CEO structure, reducing the leadership turbulence flagged in the prior screen, though quantified retention data remains unavailable. Insider Buying (1/2): The Novo Nordisk Foundation's roughly 28% controlling stake via Novo Holdings continues to anchor long-term ownership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available metrics. D/E of 63% (score 1.0), ROE of 59.82% (score 1.0), TTM profit margin of 35.35% (score 1.0), Forward P/E of 14.93 (score 1.0), and ~21.7% estimated 4-year revenue CAGR (score 1.0) all clear target. TTM revenue growth of 6.6% (score ~0.89) is the sole metric below target, reflecting the deliberate deceleration as Q2 2026 adjusted sales grew a more modest 7% at constant exchange rates amid US pricing pressure — still a meaningful improvement from prior guidance of -12% to -4% [1]. Dividend metrics are strong: payout ratio of 32.11% (score 1.0), 26+ consecutive years of DKK dividend increases as a recognized International Dividend Aristocrat (score 1.0, 2x weight), and a 5-year average dividend growth CAGR of ~20.79% (score 1.0, 2x weight) [3]. Liquidity floor is cleared by a wide margin at roughly $498M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With the 2025 governance upheaval now resolved under permanent CEO Mike Doustdar, Novo Nordisk's infinite-game profile has strengthened. The Novo Nordisk Foundation's controlling ownership, the century-old Just Cause, and a leadership team explicitly reframing AI adoption as an existential long-term bet all point toward durable purpose-driven strategy, though the scars of 2025's CEO ouster and board resignations still temper full confidence in organizational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'Driving change to defeat diabetes and other serious chronic diseases' remains a textbook Just Cause validated by over a century of consistent execution, and Doustdar's public framing — 'we stay alive — or not — based on our ability to innovate' — shows the cause continuing to drive strategy through a leadership transition [2][3].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revised up): With Doustdar now settled as permanent CEO and the OpenAI partnership publicly championed as a company-wide initiative, the acute organizational disruption from the 2025 CEO ouster and board resignations appears to be resolving into renewed stability, though a full rebuild of institutional trust after that upheaval takes time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Novo Nordisk continues to frame Eli Lilly's tirzepatide franchise as competitive motivation rather than an enemy to be destroyed, accelerating CagriSema and amycretin development specifically in response to Lilly's efficacy data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successful scale-up of oral Wegovy (5M+ prescriptions) alongside continued injectable leadership shows genuine business-model evolution from a diabetes-only company to a cardiometabolic/obesity platform, though the core remains semaglutide-driven rather than a full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Continued capital investment in manufacturing capacity and the oral pill rollout, sustained through a 50%+ prior stock decline and US pricing concessions, demonstrates conviction, though the board's 2025 decision to replace the prior CEO largely on stock-price grounds still raises questions about how much governance courage extends to tolerating market displeasure.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 Nordisk beat Q2 2026 estimates ($12.1B revenue vs. $10.94B expected, adjusted EPS of $0.95 vs. $0.78 expected) and raised full-year 2026 guidance to 0% to -6% CER, a meaningful improvement from the prior -12% to -4% range [1]. Oral Wegovy has surpassed 5 million U.S. prescriptions since its January 2026 launch, and International Operations obesity franchise revenue grew 37% in Q2, validating the injectable-to-oral transition at scale [1]. At 14.93x forward earnings with 59.82% ROE, 35.35% profit margin, and a 2.80% dividend yield backed by 26+ consecutive years of DKK dividend increases (International Dividend Aristocrat status), the stock remains attractively priced relative to its cash-generative franchise [3][4]. Leadership stability under permanent CEO Mike Doustdar, combined with a newly formalized OpenAI partnership aimed at compressing drug development timelines, strengthens the long-term innovation case.</w:t>
      </w:r>
    </w:p>
    <w:p>
      <w:pPr>
        <w:spacing w:after="120"/>
      </w:pPr>
      <w:r>
        <w:rPr>
          <w:rFonts w:ascii="Calibri" w:hAnsi="Calibri"/>
          <w:b w:val="0"/>
          <w:color w:val="3A4A28"/>
          <w:sz w:val="20"/>
        </w:rPr>
        <w:t>The bear case still centers on competitive and pricing pressure. Eli Lilly's tirzepatide franchise continues to match semaglutide efficacy and take share, and Amgen, Pfizer, and Viking Therapeutics are advancing their own GLP-1 competitors [1]. US pricing pressure remains structural, with Wegovy injectable US sales down 22% at constant exchange rates in Q2 even as the oral pill offsets the decline [1]. The December 2024 CagriSema Phase 3 disappointment still shadows next-generation pipeline confidence, and TTM revenue growth of just 6.6% — well below the double-digit growth of prior years — confirms the deceleration story is real, not fully resolved. The Inspire Impact Score of -83 (MISALIGNED) may limit allocation for faith-based investors despite otherwise strong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Oral Wegovy scaling beyond 5 million prescriptions toward broader payer coverage and international rollout, continuing to offset injectable Wegovy US softness [1]</w:t>
      </w:r>
    </w:p>
    <w:p>
      <w:pPr>
        <w:spacing w:before="40" w:after="40"/>
        <w:ind w:left="283"/>
      </w:pPr>
      <w:r>
        <w:rPr>
          <w:rFonts w:ascii="Calibri" w:hAnsi="Calibri"/>
          <w:b/>
          <w:color w:val="4A6B25"/>
          <w:sz w:val="20"/>
        </w:rPr>
        <w:t xml:space="preserve">2. </w:t>
      </w:r>
      <w:r>
        <w:rPr>
          <w:rFonts w:ascii="Calibri" w:hAnsi="Calibri"/>
          <w:b w:val="0"/>
          <w:color w:val="3A4A28"/>
          <w:sz w:val="20"/>
        </w:rPr>
        <w:t>CagriSema Phase 3 cardiovascular outcomes data expected through 2026-2027, which could validate the combination therapy and restore confidence dented by the December 2024 efficacy miss</w:t>
      </w:r>
    </w:p>
    <w:p>
      <w:pPr>
        <w:spacing w:before="40" w:after="40"/>
        <w:ind w:left="283"/>
      </w:pPr>
      <w:r>
        <w:rPr>
          <w:rFonts w:ascii="Calibri" w:hAnsi="Calibri"/>
          <w:b/>
          <w:color w:val="4A6B25"/>
          <w:sz w:val="20"/>
        </w:rPr>
        <w:t xml:space="preserve">3. </w:t>
      </w:r>
      <w:r>
        <w:rPr>
          <w:rFonts w:ascii="Calibri" w:hAnsi="Calibri"/>
          <w:b w:val="0"/>
          <w:color w:val="3A4A28"/>
          <w:sz w:val="20"/>
        </w:rPr>
        <w:t>OpenAI partnership-driven acceleration of the drug discovery pipeline, potentially compressing next-generation candidate timelines and reinforcing Novo's R&amp;D cost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Wegovy injectable US erosion (-22% CER in Q2 2026) if oral pill uptake and international growth cannot fully offset the decline [1]</w:t>
      </w:r>
    </w:p>
    <w:p>
      <w:pPr>
        <w:spacing w:before="40" w:after="40"/>
        <w:ind w:left="283"/>
      </w:pPr>
      <w:r>
        <w:rPr>
          <w:rFonts w:ascii="Calibri" w:hAnsi="Calibri"/>
          <w:b/>
          <w:color w:val="4A6B25"/>
          <w:sz w:val="20"/>
        </w:rPr>
        <w:t xml:space="preserve">2. </w:t>
      </w:r>
      <w:r>
        <w:rPr>
          <w:rFonts w:ascii="Calibri" w:hAnsi="Calibri"/>
          <w:b w:val="0"/>
          <w:color w:val="3A4A28"/>
          <w:sz w:val="20"/>
        </w:rPr>
        <w:t>Intensifying GLP-1 competition from Eli Lilly (tirzepatide), Amgen, and Viking Therapeutics could further compress semaglutide market share and pricing power</w:t>
      </w:r>
    </w:p>
    <w:p>
      <w:pPr>
        <w:spacing w:before="40" w:after="40"/>
        <w:ind w:left="283"/>
      </w:pPr>
      <w:r>
        <w:rPr>
          <w:rFonts w:ascii="Calibri" w:hAnsi="Calibri"/>
          <w:b/>
          <w:color w:val="4A6B25"/>
          <w:sz w:val="20"/>
        </w:rPr>
        <w:t xml:space="preserve">3. </w:t>
      </w:r>
      <w:r>
        <w:rPr>
          <w:rFonts w:ascii="Calibri" w:hAnsi="Calibri"/>
          <w:b w:val="0"/>
          <w:color w:val="3A4A28"/>
          <w:sz w:val="20"/>
        </w:rPr>
        <w:t>TTM revenue growth of only 6.6% confirms the post-2024 deceleration remains a live risk, and any further guidance disappointment could reverse the recent multiple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Regulated manufacturing, GMP processes, and 100+ years of diabetes/obesity biology expertise remain moats AI cannot substitute, while the newly formalized OpenAI partnership positions Novo Nordisk to compress discovery timelines rather than be disrupted by competitors doing so first [2]. Rival GLP-1 programs from Eli Lilly, Amgen, and Viking are themselves AI-accelerated, so the risk is competitive erosion of Novo's discovery-speed advantage rather than core-business substitution. AI Opportunity (1/1): The AI partnership is explicitly tied to shrinking the ~15-year drug development cycle toward 5 years, directly supporting the CagriSema and amycretin pipeline, and CEO Doustdar has publicly staked the company's survival narrative on successful AI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 Nordisk Q2 2026 Earnings — revenue $12.1B beat, adjusted sales +7% CER, guidance raised to 0% to -6% CER for FY2026, oral Wegovy 5M+ prescriptions, Wegovy US injectable -22% CER — Investing.com transcript,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Novo Nordisk CEO Mike Doustdar leadership and OpenAI drug-discovery partnership — CEO Today Magazine, IntuitionLabs, BioSpace, CNBC, 2025-2026</w:t>
      </w:r>
    </w:p>
    <w:p>
      <w:pPr>
        <w:spacing w:before="20" w:after="20"/>
        <w:ind w:left="170"/>
      </w:pPr>
      <w:r>
        <w:rPr>
          <w:rFonts w:ascii="Calibri" w:hAnsi="Calibri"/>
          <w:b/>
          <w:color w:val="4A6B25"/>
          <w:sz w:val="15"/>
        </w:rPr>
        <w:t xml:space="preserve">3. </w:t>
      </w:r>
      <w:r>
        <w:rPr>
          <w:rFonts w:ascii="Calibri" w:hAnsi="Calibri"/>
          <w:b w:val="0"/>
          <w:color w:val="3A4A28"/>
          <w:sz w:val="17"/>
        </w:rPr>
        <w:t>Novo Nordisk International Dividend Aristocrat status (26+ years consecutive DKK dividend increases, 5yr avg dividend growth 20.79%) and ESG framework — Sure Dividend, europeandgi.com, novonordisk.com/esg,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NVO (Novo Nordisk) Key Statistics, Financial Ratios, and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