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w:t>
      </w:r>
      <w:r>
        <w:rPr>
          <w:rFonts w:ascii="Calibri" w:hAnsi="Calibri"/>
          <w:b/>
          <w:color w:val="1A2010"/>
          <w:sz w:val="40"/>
        </w:rPr>
        <w:t xml:space="preserve">  Realty Income Corporation</w:t>
      </w:r>
    </w:p>
    <w:p>
      <w:pPr>
        <w:spacing w:after="120"/>
      </w:pPr>
      <w:r>
        <w:rPr>
          <w:rFonts w:ascii="Calibri" w:hAnsi="Calibri"/>
          <w:b/>
          <w:color w:val="6E8450"/>
          <w:sz w:val="18"/>
        </w:rPr>
        <w:t>DIVIDEND SLEEVE · 2026-08-23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Realty Income Corporation is a real estate investment trust that invests in single-tenant commercial properties under long-term net-lease agreements. Branded as 'The Monthly Dividend Company,' Realty Income owns over 15,600 properties across the US, UK, and Europe, leased to ~1,550 clients across 90 industries. Q2 2026 revenue of $1.55B beat expectations by 7.33% (+9.7% YoY), AFFO per share rose 3.8% to $1.09, and full-year AFFO guidance was raised to $4.44-4.45. Investment volume guidance raised to $10B. Portfolio occupancy 98.8%. Market cap approximately $55B.</w:t>
      </w:r>
    </w:p>
    <w:p>
      <w:r>
        <w:rPr>
          <w:rFonts w:ascii="Calibri" w:hAnsi="Calibri"/>
          <w:b/>
          <w:color w:val="6E8450"/>
          <w:sz w:val="18"/>
        </w:rPr>
        <w:t>544 Employees · https://www.realtyincome.com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Realty Income completed the transformative $9.3B Spirit Realty acquisition (January 2024) adding ~2,000 properties, expanded into Europe, and entered data center and gaming property types, meaningfully diversifying beyond traditional retail net-lease [1]. The private capital fund strategy — completing a $1.7B cornerstone raise for the U.S. Core Plus fund with Apollo and GIC partnerships — represents a business model evolution from pure equity REIT to hybrid capital deployer [2]. AI Deployment (0/2): No AI-powered products or services shipping to customers. The company uses predictive analytics and machine learning for underwriting but no specific deployments or quantified results have been disclosed [3]. Market Share (2/2): Realty Income is the undisputed leader in net-lease REITs with ~$55B market cap, more than double its nearest competitor (NNN). 98.8% occupancy across 15,600+ properties in 90 industries creates unmatched scale [1][2]. The company is the only S&amp;P 500 net-lease REIT. Product Pipeline (1/2): The $10B 2026 investment volume target — raised from $9.5B — is the largest in company history, with Q2 deployments of $2.6B. The Apollo/GIC partnerships and U.S. Core Plus fund provide specific capital deployment visibility [2]. R&amp;D Intensity (0/1): Not applicable for a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Realty Income's brand identity as 'The Monthly Dividend Company' is distinctive and memorable — validated by 55+ years of consecutive monthly dividends and 113+ consecutive quarterly dividend increases [1]. It clearly connects the company's purpose to providing dependable income for shareholders. However, it is a financial commitment to shareholders rather than a transformative vision of a better future. Community Impact (1/2): Recognized as one of America's Most Responsible Companies 2026 by Newsweek; ESG score of 15.5 (low risk); publishes sustainability reports aligned with GRI and TCFD frameworks [4]. Tenant properties serve community needs (grocery, pharmacy, convenience). However, no distinctive charitable programs or community investment with specific dollar amounts were found beyond standard corporate ESG compliance. Employee Retention (0/2): Glassdoor rating of 3.5/5 with only 49% of employees recommending the company; reviews cite below-market pay, 'employees leaving in droves,' and culture that has 'lost all sense of the family feel' as the company scaled rapidly from ~350 to 544 employees [3]. CLO Michelle Bushore's departure in September 2026 adds to turnover concerns. Insider Buying (0/2): CEO Sumit Roy made no insider transactions in the past 18 months [5]. Other insiders sold shares — Mary Hogan Preusse (11,000 shares), Michelle Bushore (7,400), Gregory McLaughlin (3,275). Over the past 3 months, insiders sold 10,675 shares and purchased zero. Net insider selling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dividend-weighted metrics. D/E of 73% is well-managed for a capital-intensive REIT, near the 70% target (score 0.987) [6]. Q2 2026 revenue of $1.55B beat expectations by 7.33%, growing 9.7% YoY, near the 10% target (score 0.990) [2]. The 5-year revenue CAGR of ~27% reflects the transformative VEREIT and Spirit Realty mergers (score 1.0) [1]. Forward P/E of 40.26x is elevated at GAAP level but reflects REIT valuation norms where AFFO is the relevant metric; on P/AFFO basis the stock trades at ~14x ($62 / $4.44), which is reasonable (score 0.494) [6]. Profit margin of 18.9% is near the 20% target (score 0.945). ROE of 2.83% is structurally low for REITs due to depreciation charges on GAAP earnings (score 0.189). AFFO payout ratio of 73% provides healthy coverage of the $3.25 annual dividend (score 0.450) [2]. Consecutive years paid: 55+ with 31 years of growth — the hallmark of dividend aristocrat quality (combined 2x + 1x weighted = 3.0). The 5-year dividend growth CAGR of 2.9% reflects the lower-growth nature of net-lease REITs (score 0.483, 2x weight). Liquidity cleared: ~$6.6M volume × $62 = $409M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Realty Income exhibits many infinite game qualities — a 55-year track record of monthly dividends, 113+ consecutive quarterly increases, patient capital deployment across market cycles, and a brand identity built around dependable income for generations of investors. CEO Sumit Roy has led for 7+ years with consistent strategic execution, raising the 2026 investment volume target to a record $10B. The Apollo/GIC private capital partnerships expand the company's capabilities beyond pure equity REIT. However, employee concerns about growth overwhelming culture (49% Glassdoor recommendation rate) and the relentless pursuit of scale suggest tension between infinite purpose and finite growth metrics.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Monthly Dividend Company' is more than marketing — it's a 55-year commitment to providing dependable monthly income that has survived multiple recessions, interest rate cycles, and leadership transitions [1]. The 113+ consecutive quarterly dividend increases and 31 consecutive years of annual dividend growth are tangible expressions of this cause. The commitment to monthly (not quarterly) dividends with raised AFFO guidance to $4.44-4.45 reflects a genuine orientation toward serving income-dependent investors [2]. However, the Just Cause is ultimately financial rather than transformative — it describes a superior financial product rather than a vision of a better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Sumit Roy is described as 'authentic' and 'very communicative and accessible' [3]. However, Glassdoor rating of 3.5/5 with only 49% recommendation rate shows an adequate but not exceptional trust environment. Employees report the company has 'lost the family feel,' pay is below market, and 'employees are leaving in droves' as the company scaled rapidly [3]. CLO Michelle Bushore's departure in September 2026 adds to leadership turnover concerns. The trust-culture tension between old and new Realty Income is real.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Realty Income operates in a competitive net-lease REIT landscape alongside NNN Realty, STORE Capital (acquired by GIC), and W.P. Carey, and management consistently frames competition as motivation to improve — pursuing differentiated strategies (European expansion, data centers, gaming, sovereign wealth partnerships, private capital vehicles) rather than mimicking peers [1][2]. The company acknowledges competitors' niche advantages while leveraging its unique scale and diversification.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Realty Income has evolved meaningfully from a US-focused retail net-lease REIT to a global diversified real estate platform — expanding into Europe (UK, Spain, Italy, France), entering data center and gaming property types, and launching private capital vehicles (Apollo, GIC partnerships, $1.7B U.S. Core Plus fund cornerstone raise) [2]. The raised $10B investment volume target for 2026 demonstrates accelerating deployment capacity. These are significant strategic evolutions that expand the addressable market, though the company remains fundamentally in the same business of collecting rent from single-tenant properties.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$9.3B Spirit Realty acquisition in 2024 was a bold bet on scale during a challenging interest rate environment [1]. The 2026 investment volume target was raised to $10B — the largest in company history — with Q2 deploying $2.6B at strong cash yields [2]. The private capital partnerships with Apollo and GIC represent a courageous evolution of the capital structure. However, the growth acceleration raises questions about whether scale is being pursued for its own sake or in service of the income mission — per-share AFFO growth of only 3.8% despite massive deployment suggests diminishing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Realty Income is the gold standard of net-lease REITs — a ~$55B S&amp;P 500 member with 55+ years of consecutive monthly dividends, 31 years of dividend growth, and 98.8% portfolio occupancy across 15,600+ properties [1]. Q2 2026 revenue of $1.55B beat expectations by 7.33% (+9.7% YoY), AFFO per share rose 3.8% to $1.09, and full-year AFFO guidance was raised to $4.44-4.45 (+5.2% YTD growth) [2]. The 5.24% dividend yield at $62 provides compelling income with 73% AFFO payout ratio ensuring healthy coverage. Investment volume guidance was raised to $10B — the largest in company history — supported by the Apollo/GIC private capital partnerships and $1.7B U.S. Core Plus fund that expand deployment capacity without proportional equity dilution [2]. D/E of 73% is well-managed, and the triple-net-lease model creates highly durable cash flow with 98.8% occupancy and rent recapture rates above 100%.</w:t>
      </w:r>
    </w:p>
    <w:p>
      <w:pPr>
        <w:spacing w:after="120"/>
      </w:pPr>
      <w:r>
        <w:rPr>
          <w:rFonts w:ascii="Calibri" w:hAnsi="Calibri"/>
          <w:b w:val="0"/>
          <w:color w:val="3A4A28"/>
          <w:sz w:val="20"/>
        </w:rPr>
        <w:t>The bear case focuses on growth deceleration, valuation, and structural REIT challenges. Per-share AFFO growth of 3.8% in Q2 and 5.2% YTD is modest given the massive $10B deployment target, raising questions about whether the 933M+ share base makes per-share accretion increasingly difficult at scale [2]. GAAP EPS of $0.37 missed the $0.42 consensus, and forward P/E of 40.26x (GAAP) creates sticker shock despite a more reasonable 14x P/AFFO. The ~$30.3B in total debt creates meaningful interest rate sensitivity — if rates stay elevated, the spread between investment yields and cost of capital narrows [6]. Employee culture strain persists: Glassdoor shows 49% recommendation rate with complaints about below-market pay and cultural deterioration as headcount scales [3]. Tenant concentration risk remains: Walgreens (largest tenant) faces pharmacy closures, and Dollar General/Dollar Tree face operational headwinds. CEO Roy's zero insider transactions in 18 months, combined with net insider selling by other executives, sends a neutral-to-negative conviction signal [5]. The Inspire Impact Score of -1 (MIXED) reflects gambling exposure through casino/gaming properties that the company is actively expanding.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$10B 2026 investment volume target (up from $9.5B) with Q2 deploying $2.6B, and AFFO guidance raised to $4.44-4.45 reflecting accelerating deployment capacity and portfolio quality [2]</w:t>
      </w:r>
    </w:p>
    <w:p>
      <w:pPr>
        <w:spacing w:before="40" w:after="40"/>
        <w:ind w:left="283"/>
      </w:pPr>
      <w:r>
        <w:rPr>
          <w:rFonts w:ascii="Calibri" w:hAnsi="Calibri"/>
          <w:b/>
          <w:color w:val="4A6B25"/>
          <w:sz w:val="20"/>
        </w:rPr>
        <w:t xml:space="preserve">2. </w:t>
      </w:r>
      <w:r>
        <w:rPr>
          <w:rFonts w:ascii="Calibri" w:hAnsi="Calibri"/>
          <w:b w:val="0"/>
          <w:color w:val="3A4A28"/>
          <w:sz w:val="20"/>
        </w:rPr>
        <w:t>Private capital fund strategy — Apollo/GIC partnerships and $1.7B U.S. Core Plus fund cornerstone raise — creating new fee income streams and expanding investment capacity beyond traditional equity REIT model [2]</w:t>
      </w:r>
    </w:p>
    <w:p>
      <w:pPr>
        <w:spacing w:before="40" w:after="40"/>
        <w:ind w:left="283"/>
      </w:pPr>
      <w:r>
        <w:rPr>
          <w:rFonts w:ascii="Calibri" w:hAnsi="Calibri"/>
          <w:b/>
          <w:color w:val="4A6B25"/>
          <w:sz w:val="20"/>
        </w:rPr>
        <w:t xml:space="preserve">3. </w:t>
      </w:r>
      <w:r>
        <w:rPr>
          <w:rFonts w:ascii="Calibri" w:hAnsi="Calibri"/>
          <w:b w:val="0"/>
          <w:color w:val="3A4A28"/>
          <w:sz w:val="20"/>
        </w:rPr>
        <w:t>Interest rate decline cycle could compress cap rates and expand Realty Income's valuation multiple while reducing the ~$30.3B net debt cost burden, with 5.24% dividend yield providing attractive current income during the wait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Per-share AFFO growth of only 3.8-5.2% despite $10B annual deployment suggests diminishing per-share accretion as the 933M+ share base absorbs massive equity issuance for acquisitions [2]</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~$30.3B total debt means sustained higher-for-longer rates compress investment spreads and increase refinancing costs, while GAAP forward P/E of 40.26x reflects elevated valuation multiples [6]</w:t>
      </w:r>
    </w:p>
    <w:p>
      <w:pPr>
        <w:spacing w:before="40" w:after="40"/>
        <w:ind w:left="283"/>
      </w:pPr>
      <w:r>
        <w:rPr>
          <w:rFonts w:ascii="Calibri" w:hAnsi="Calibri"/>
          <w:b/>
          <w:color w:val="4A6B25"/>
          <w:sz w:val="20"/>
        </w:rPr>
        <w:t xml:space="preserve">3. </w:t>
      </w:r>
      <w:r>
        <w:rPr>
          <w:rFonts w:ascii="Calibri" w:hAnsi="Calibri"/>
          <w:b w:val="0"/>
          <w:color w:val="3A4A28"/>
          <w:sz w:val="20"/>
        </w:rPr>
        <w:t>Tenant credit risk — largest tenants including Walgreens (pharmacy closures), Dollar General, and Dollar Tree face operational headwinds; occupancy dipped from 98.9% to 98.8%, and any acceleration in tenant defaults above guided 40-50bps credit loss would impact distributable cash flow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Realty Income's business is structurally immune to AI disruption — the company owns physical commercial properties under long-term triple-net leases where tenants (Walgreens, Dollar General, FedEx, Wynn Resorts) pay contractual rent regardless of AI's impact on the broader economy [1]. Net-lease REITs are landlords collecting rent — AI cannot replicate or substitute physical property ownership. The 15,600+ property portfolio with 98.8% occupancy across 90 industries provides maximum diversification against any single-sector AI disruption [2]. AI may benefit Realty Income indirectly by increasing demand for data center properties, a growing asset class in the portfolio. The raised $10B investment volume target includes data center acquisitions that directly benefit from AI infrastructure buildout [2]. Score limited to 8 because some tenant categories (casual dining, fitness centers) could face marginal AI-related demand shifts over time. AI Opportunity (0/1): No AI-related revenue. The company uses predictive analytics internally for underwriting but does not sell AI products or generate AI-specific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Realty Income Corporate Overview — 15,600+ properties, 90 industries, 55-year monthly dividend history, Spirit Realty $9.3B acquisition January 2024, realtyincome.com,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Realty Income Q2 2026 Earnings — Revenue $1.55B (+9.7% YoY, beat by 7.33%), AFFO/share $1.09 (+3.8%), H1 AFFO $2.22 (+5.2%), raised AFFO guidance to $4.44-4.45, investment volume raised to $10B, occupancy 98.8%, Apollo/GIC partnerships, $1.7B Core Plus fund, August 2026</w:t>
      </w:r>
    </w:p>
    <w:p>
      <w:pPr>
        <w:spacing w:before="20" w:after="20"/>
        <w:ind w:left="170"/>
      </w:pPr>
      <w:r>
        <w:rPr>
          <w:rFonts w:ascii="Calibri" w:hAnsi="Calibri"/>
          <w:b/>
          <w:color w:val="4A6B25"/>
          <w:sz w:val="15"/>
        </w:rPr>
        <w:t xml:space="preserve">3. </w:t>
      </w:r>
      <w:r>
        <w:rPr>
          <w:rFonts w:ascii="Calibri" w:hAnsi="Calibri"/>
          <w:b w:val="0"/>
          <w:color w:val="3A4A28"/>
          <w:sz w:val="17"/>
        </w:rPr>
        <w:t>Realty Income Leadership and Glassdoor — CEO Sumit Roy, CLO Michelle Bushore departing Sept 2026, 3.5/5 rating, 49% recommend, culture concerns,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Realty Income ESG — ESG score 15.5 (low risk), Newsweek 'Most Responsible Companies 2026', GRI/TCFD aligned, KnowESG,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Realty Income Insider Activity — CEO Roy zero transactions in 18 months, Preusse/Bushore/McLaughlin net sales of 10,675 shares in 3 months, zero purchases, GuruFocus,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O Key Statistics: Forward P/E 40.26x, Trailing P/E 53.85, D/E 73%, ROE 2.83%, Profit Margin 18.9%, $30.3B total debt,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