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w:t>
      </w:r>
      <w:r>
        <w:rPr>
          <w:rFonts w:ascii="Calibri" w:hAnsi="Calibri"/>
          <w:b/>
          <w:color w:val="1A2010"/>
          <w:sz w:val="40"/>
        </w:rPr>
        <w:t xml:space="preserve">  The Procter &amp; Gamble Company</w:t>
      </w:r>
    </w:p>
    <w:p>
      <w:pPr>
        <w:spacing w:after="120"/>
      </w:pPr>
      <w:r>
        <w:rPr>
          <w:rFonts w:ascii="Calibri" w:hAnsi="Calibri"/>
          <w:b/>
          <w:color w:val="6E8450"/>
          <w:sz w:val="18"/>
        </w:rPr>
        <w:t>DIVIDEND SLEEVE · 2026-08-18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The Procter &amp; Gamble Company provides branded consumer packaged goods worldwide across Beauty, Grooming, Health Care, Fabric &amp; Home Care, and Baby/Feminine/Family Care segments. Brands include Tide, Pampers, Gillette, Olay, Crest, Oral-B, Bounty, and Charmin, among 65+ brands sold in over 180 countries. Shailesh Jejurikar became CEO in January 2026, succeeding Jon Moeller after 36 years at P&amp;G, becoming the first Indian-born CEO in the company's 188-year history. FY2026 revenue was $87.0B (+3% reported, +1% organic) with diluted EPS of $6.62 (+2%). Market cap is approximately $333B.</w:t>
      </w:r>
    </w:p>
    <w:p>
      <w:r>
        <w:rPr>
          <w:rFonts w:ascii="Calibri" w:hAnsi="Calibri"/>
          <w:b/>
          <w:color w:val="6E8450"/>
          <w:sz w:val="18"/>
        </w:rPr>
        <w:t>107,000 Employees · https://www.pg.com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P&amp;G's innovation over the past five years has been incremental — Tide Power Pods, Always Discreet line extensions, SK-II reformulations, and packaging sustainability improvements rather than transformative category creation or business model pivots [1]. The brand portfolio has remained structurally identical since the 2014-2015 rationalization from 170+ to 65 brands, and CEO Jejurikar's 'constructive disruption' strategy focuses on optimization rather than reinvention. AI Deployment (1/2): P&amp;G has assembled several hundred data scientists and AI engineers deploying algorithms at scale across marketing, digital commerce, supply chain, and sales operations, with former CEO Moeller identifying 'digital acumen' as an organization-wide priority [2]. AI is used for media buying optimization and demand forecasting with measurable cost savings, though no AI-powered consumer products are shipping to customers. Market Share (2/2): P&amp;G holds #1 or #2 market share positions in virtually every category — Tide in laundry (~30% US share), Pampers in diapers, Gillette in razors (~50% US share), Crest/Oral-B in oral care — with 50.87% gross margins reflecting pricing power from category leadership [1][4]. Product Pipeline (0/2): P&amp;G operates on a consumer staples cadence of incremental reformulations and line extensions rather than next-generation launches with specific timelines and revenue visibility. No transformative pipeline products with named launch dates were identified. R&amp;D Intensity (1/1): P&amp;G's R&amp;D spending of approximately $2B annually (~2.3% of revenue) is at the consumer staples industry average, reflecting steady investment in formulation science and packaging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P&amp;G's purpose — 'We will provide branded products and services of superior quality and value that improve the lives of the world's consumers, now and for generations to come' — is specific, thoughtful, and has guided strategic decisions across 188 years of continuous operation [2]. The multi-generational time horizon and consumer-centric focus differentiate from peers and have shaped capital allocation decisions including the 2014-2015 brand rationalization. However, the purpose is tied to product superiority rather than a broader transformative societal vision. Community Impact (1/2): P&amp;G's Children's Safe Drinking Water Program has delivered over 20 billion liters of clean water, and the P&amp;G Fund supports brand-specific charitable programs (Always #EndPeriodPoverty, Pampers/UNICEF partnership) [3]. These represent meaningful community investment, though they are integrated into brand marketing rather than standalone philanthropic commitments at scale. Employee Retention (1/2): P&amp;G ranked #22 on Glassdoor's Best Places to Work 2025 with a 4.4/5 rating, and the promote-from-within culture creates long tenures — CEO Jejurikar is a 36-year veteran, continuing a tradition of internal CEO appointments [2]. However, critical Glassdoor reviews cite mental health concerns and demanding workload culture. Insider Buying (1/2): Recent insider activity is neutral — primarily stock award grants to directors without meaningful open-market purchases or sales, though the promote-from-within culture ensures executives hold significant equity accumulated over decades-long tenures.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P&amp;G demonstrates exceptional balance sheet strength with D/E of 64% under the 70% target, ROE of 30.29% double the 15% threshold, and 50.87% gross margins reflecting category leadership pricing power [4]. The primary drag is anemic growth — FY2026 revenue of $87.0B grew only 3% reported and 1% organic, with volume growth in just one quarter as value-conscious consumers traded down [1]. The 5-year revenue CAGR of approximately 2.8% significantly trails the 10% target, and profit margin of 18.44% narrowly misses the 20% target. The payout ratio of 65.76% is elevated versus the 40% ideal. Dividend strength is the standout: 134 consecutive years of payment and 70 consecutive years of growth (both scoring at maximum with weighted emphasis), 3.04% yield, and 5-year dividend growth CAGR of approximately 5.5% [4]. Forward P/E of 20.46x is near the 20x target. Easily clears the liquidity floor with ~$1.2B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P&amp;G is a 188-year-old institution that has outlasted virtually every corporate peer, demonstrating extraordinary organizational endurance through world wars, depressions, and technological revolutions. The promote-from-within culture, where every senior leader is homegrown and CEO Jejurikar spent 36 years at the company, creates institutional continuity that Sinek would recognize as a hallmark of infinite game thinking. However, the company's competitive language is distinctly finite — the core value of 'a passion for winning' and the relentless focus on market share leadership reveal a company that plays to win each category rather than to advance a transcendent cause. The recent CEO transition was a model of succession planning, but the strategic playbook remains focused on category dominance and shareholder returns.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P&amp;G's purpose — improving the lives of the world's consumers, now and for generations to come — is genuine and has been partially lived out through 188 years of consistent execution in essential consumer products [2]. The Children's Safe Drinking Water Program and brand portfolio rationalization demonstrate purpose-driven strategic decisions. However, the purpose is fundamentally tied to product superiority and category leadership rather than a transformative vision of a future state that does not yet exist. Sinek would note that 'making better products' is a strategy, not a Just Cause — it lacks the idealism and audacity that defines companies built to inspire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P&amp;G's promote-from-within culture is among the most distinctive in corporate America — every top-50 role has multiple internal successors identified, and CEO Jejurikar spent 36 years at the company [2]. Glassdoor rating of 4.4/5 and #22 Best Places to Work ranking suggest above-average employee satisfaction. However, critical reviews cite mental health concerns and demanding workload culture, and the organizational structure of a 107,000-person multinational inevitably creates bureaucratic layers that limit the psychological safety Sinek values.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P&amp;G's competitive posture is distinctly finite. The company's core value of 'a passion for winning' reveals an organization that frames competition as a battle to be won rather than a force for self-improvement [2]. P&amp;G's language around Unilever, Colgate-Palmolive, and Kimberly-Clark consistently emphasizes market share gains, category leadership, and competitive superiority. Sinek would identify this as a classic finite game mindset — competing to beat rivals rather than competing to advance a cause.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P&amp;G demonstrated meaningful strategic flexibility with the 2014-2015 brand rationalization, shedding over 100 brands to focus on 65 core categories — a painful short-term disruption that improved long-term competitiveness. The company has adapted its go-to-market strategy from traditional retail to digital commerce and invested in AI-driven operations [2]. However, P&amp;G has never fundamentally reinvented itself — the business model of manufacturing and selling branded consumer goods has remained essentially unchanged for 188 years. The company evolves incrementally rather than transformatively.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P&amp;G's brand portfolio rationalization from 170+ to 65 brands required walking away from billions in revenue to sharpen strategic focus — a courageous long-term bet that improved margins and competitive positioning [1]. The company has maintained its dividend through every economic downturn for 70 consecutive years, prioritizing shareholder commitment over financial flexibility. However, P&amp;G's strategic decisions are generally conservative and consensus-driven — the company optimizes within its existing framework rather than making transformative bets that risk short-term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P&amp;G at 20.46x forward earnings is a defensive compounder offering stability through category leadership in essential consumer products with 50.87% gross margins, $15.15B in annual free cash flow, and a 70-year Dividend King streak yielding 3.04% [1][4]. The company holds #1 or #2 market share in virtually every category — Tide, Pampers, Gillette, Crest — creating pricing power and recession resilience. ROE of 30.29%, D/E of 64%, and $15.75B in net income demonstrate capital-efficient operations with conservative leverage. The Jejurikar CEO transition was a model of institutional succession planning from a 36-year veteran, and AI deployment across supply chain and marketing creates incremental efficiency gains [2]. P&amp;G returned over $15B to shareholders in FY2026 through $10.2B in dividends and $5.0B in share repurchases.</w:t>
      </w:r>
    </w:p>
    <w:p>
      <w:pPr>
        <w:spacing w:after="120"/>
      </w:pPr>
      <w:r>
        <w:rPr>
          <w:rFonts w:ascii="Calibri" w:hAnsi="Calibri"/>
          <w:b w:val="0"/>
          <w:color w:val="3A4A28"/>
          <w:sz w:val="20"/>
        </w:rPr>
        <w:t>The bear case centers on stagnant organic growth and premium valuation for a low-growth business. FY2026 organic sales grew just 1%, with volume growth in only one quarter as value-conscious consumers stretch product lifespans and trade down to private label alternatives [1]. The 5-year revenue CAGR of ~2.8% and PEG ratio of 4.09x suggest investors are paying a rich multiple for below-market growth. The payout ratio of 65.76% limits dividend acceleration, and the 5-year dividend growth CAGR of 5.5% barely exceeds inflation. ESG controversies around deforestation-linked palm oil and wood pulp sourcing have drawn shareholder resolutions, NRDC SEC complaints alleging greenwashing, and calls to block the former CEO's reappointment as board chair [3]. The Inspire Impact Score of -67 (MISALIGNED) may limit allocation for faith-based investors. Currency headwinds from the strong USD compress reported revenue and margins for a company generating approximately 55% of sales internationally.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Shailesh Jejurikar's strategic priorities and AI-driven restructuring investment could accelerate digital commerce penetration and supply chain efficiencies, potentially expanding profit margins beyond the current 18.44% [2]</w:t>
      </w:r>
    </w:p>
    <w:p>
      <w:pPr>
        <w:spacing w:before="40" w:after="40"/>
        <w:ind w:left="283"/>
      </w:pPr>
      <w:r>
        <w:rPr>
          <w:rFonts w:ascii="Calibri" w:hAnsi="Calibri"/>
          <w:b/>
          <w:color w:val="4A6B25"/>
          <w:sz w:val="20"/>
        </w:rPr>
        <w:t xml:space="preserve">2. </w:t>
      </w:r>
      <w:r>
        <w:rPr>
          <w:rFonts w:ascii="Calibri" w:hAnsi="Calibri"/>
          <w:b w:val="0"/>
          <w:color w:val="3A4A28"/>
          <w:sz w:val="20"/>
        </w:rPr>
        <w:t>Volume recovery in FY2027 as consumer confidence improves and P&amp;G's premium positioning regains traction against private label, with pricing power intact given 50.87% gross margins and category leadership across 65+ brands [1]</w:t>
      </w:r>
    </w:p>
    <w:p>
      <w:pPr>
        <w:spacing w:before="40" w:after="40"/>
        <w:ind w:left="283"/>
      </w:pPr>
      <w:r>
        <w:rPr>
          <w:rFonts w:ascii="Calibri" w:hAnsi="Calibri"/>
          <w:b/>
          <w:color w:val="4A6B25"/>
          <w:sz w:val="20"/>
        </w:rPr>
        <w:t xml:space="preserve">3. </w:t>
      </w:r>
      <w:r>
        <w:rPr>
          <w:rFonts w:ascii="Calibri" w:hAnsi="Calibri"/>
          <w:b w:val="0"/>
          <w:color w:val="3A4A28"/>
          <w:sz w:val="20"/>
        </w:rPr>
        <w:t>Continued capital returns program — $15B+ annually through dividends and buybacks — reducing share count and compounding EPS growth, supported by $15.15B in annual free cash flow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consumer trade-down to private label and value alternatives as cost-of-living pressures persist — FY2026 organic growth of just 1% with volume growth in only one quarter signals structural demand weakness in premium-priced consumer staples [1]</w:t>
      </w:r>
    </w:p>
    <w:p>
      <w:pPr>
        <w:spacing w:before="40" w:after="40"/>
        <w:ind w:left="283"/>
      </w:pPr>
      <w:r>
        <w:rPr>
          <w:rFonts w:ascii="Calibri" w:hAnsi="Calibri"/>
          <w:b/>
          <w:color w:val="4A6B25"/>
          <w:sz w:val="20"/>
        </w:rPr>
        <w:t xml:space="preserve">2. </w:t>
      </w:r>
      <w:r>
        <w:rPr>
          <w:rFonts w:ascii="Calibri" w:hAnsi="Calibri"/>
          <w:b w:val="0"/>
          <w:color w:val="3A4A28"/>
          <w:sz w:val="20"/>
        </w:rPr>
        <w:t>ESG litigation and reputational risk from NRDC SEC complaints alleging materially misleading statements on deforestation-linked sourcing practices, with environmental groups recommending shareholders vote against board leadership [3]</w:t>
      </w:r>
    </w:p>
    <w:p>
      <w:pPr>
        <w:spacing w:before="40" w:after="40"/>
        <w:ind w:left="283"/>
      </w:pPr>
      <w:r>
        <w:rPr>
          <w:rFonts w:ascii="Calibri" w:hAnsi="Calibri"/>
          <w:b/>
          <w:color w:val="4A6B25"/>
          <w:sz w:val="20"/>
        </w:rPr>
        <w:t xml:space="preserve">3. </w:t>
      </w:r>
      <w:r>
        <w:rPr>
          <w:rFonts w:ascii="Calibri" w:hAnsi="Calibri"/>
          <w:b w:val="0"/>
          <w:color w:val="3A4A28"/>
          <w:sz w:val="20"/>
        </w:rPr>
        <w:t>Currency headwinds from strong USD environment compress reported revenue and margins for a company generating approximately 55% of sales outside the United States, with limited pricing power in weakening international consumer markets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P&amp;G's core business — manufacturing and distributing physical consumer goods (detergent, diapers, razors, toothpaste) — is structurally immune to AI substitution [1]. AI cannot wash clothes, change diapers, or brush teeth. The business depends on physical product manufacturing, global supply chain logistics, and retail shelf space — none of which face AI displacement risk. Brand loyalty in consumer staples creates additional insulation, as purchasing decisions are habitual rather than research-intensive. Analysts express zero concern about AI disrupting P&amp;G's core revenue streams; AI may actually increase demand efficiency by enabling more precise inventory management and consumer targeting. AI Opportunity (0/1): While P&amp;G deploys AI internally through several hundred data scientists for supply chain optimization, demand forecasting, and personalized marketing, the company does not generate AI-related product revenue [2]. AI is a cost-reduction and efficiency tool,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Procter &amp; Gamble FY2026 Earnings — Revenue $87.0B (+3%), Organic Sales +1%, EPS $6.62 (+2%), Volume Growth in 1 of 4 Quarters, $15B Returned to Shareholders — CNBC, July 2026</w:t>
      </w:r>
    </w:p>
    <w:p>
      <w:pPr>
        <w:spacing w:before="20" w:after="20"/>
        <w:ind w:left="170"/>
      </w:pPr>
      <w:r>
        <w:rPr>
          <w:rFonts w:ascii="Calibri" w:hAnsi="Calibri"/>
          <w:b/>
          <w:color w:val="4A6B25"/>
          <w:sz w:val="15"/>
        </w:rPr>
        <w:t xml:space="preserve">2. </w:t>
      </w:r>
      <w:r>
        <w:rPr>
          <w:rFonts w:ascii="Calibri" w:hAnsi="Calibri"/>
          <w:b w:val="0"/>
          <w:color w:val="3A4A28"/>
          <w:sz w:val="17"/>
        </w:rPr>
        <w:t>P&amp;G Leadership, Culture, and AI Strategy — CEO Jejurikar Transition (36-Year Veteran), Promote-from-Within Culture, AI/Data Science Deployment, Glassdoor 4.4/5 (#22 Best Places to Work) — Klover.ai, MokaHR, Morgan Stanley, 2025-2026</w:t>
      </w:r>
    </w:p>
    <w:p>
      <w:pPr>
        <w:spacing w:before="20" w:after="20"/>
        <w:ind w:left="170"/>
      </w:pPr>
      <w:r>
        <w:rPr>
          <w:rFonts w:ascii="Calibri" w:hAnsi="Calibri"/>
          <w:b/>
          <w:color w:val="4A6B25"/>
          <w:sz w:val="15"/>
        </w:rPr>
        <w:t xml:space="preserve">3. </w:t>
      </w:r>
      <w:r>
        <w:rPr>
          <w:rFonts w:ascii="Calibri" w:hAnsi="Calibri"/>
          <w:b w:val="0"/>
          <w:color w:val="3A4A28"/>
          <w:sz w:val="17"/>
        </w:rPr>
        <w:t>P&amp;G ESG Controversies — NRDC SEC Complaint on Deforestation Sourcing, Palm Oil/Wood Pulp Environmental Impact, Greenwashing Allegations, Board Chair Reappointment Challenge — NRDC, Corporate Governance Institute,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PG Key Statistics: Forward P/E 20.46x, ROE 30.29%, D/E 64%, Profit Margin 18.44%, Dividend Yield 3.04%, 70 Years Dividend Growth, Stock Price $143.12,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