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PSO</w:t>
      </w:r>
      <w:r>
        <w:rPr>
          <w:rFonts w:ascii="Calibri" w:hAnsi="Calibri"/>
          <w:b/>
          <w:color w:val="1A2010"/>
          <w:sz w:val="40"/>
        </w:rPr>
        <w:t xml:space="preserve">  Pearson plc</w:t>
      </w:r>
    </w:p>
    <w:p>
      <w:pPr>
        <w:spacing w:after="120"/>
      </w:pPr>
      <w:r>
        <w:rPr>
          <w:rFonts w:ascii="Calibri" w:hAnsi="Calibri"/>
          <w:b/>
          <w:color w:val="6E8450"/>
          <w:sz w:val="18"/>
        </w:rPr>
        <w:t>DIVIDEND SLEEVE · 2026-08-07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Communication Services · Publishing · NYSE · United Kingdom</w:t>
      </w:r>
    </w:p>
    <w:p>
      <w:pPr>
        <w:spacing w:after="80"/>
      </w:pPr>
      <w:r>
        <w:rPr>
          <w:rFonts w:ascii="Calibri" w:hAnsi="Calibri"/>
          <w:b w:val="0"/>
          <w:color w:val="3A4A28"/>
          <w:sz w:val="20"/>
        </w:rPr>
        <w:t>Pearson plc is a global education company operating across Assessment &amp; Qualifications, Virtual Learning, English Language Learning, Enterprise Learning &amp; Skills, and Higher Education segments. The company provides educational courseware, testing/certification services, and digital learning platforms, and is positioning itself to benefit from rising demand for AI-driven reskilling and AI study tools in higher education.</w:t>
      </w:r>
    </w:p>
    <w:p>
      <w:r>
        <w:rPr>
          <w:rFonts w:ascii="Calibri" w:hAnsi="Calibri"/>
          <w:b/>
          <w:color w:val="6E8450"/>
          <w:sz w:val="18"/>
        </w:rPr>
        <w:t>17,062 Employees · https://plc.pearson.com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Pearson has executed a genuine multi-year pivot from print textbook publishing toward digital Virtual Learning and Enterprise Learning &amp; Skills, with Virtual Learning revenue up 19% YoY in H1 2026 — a real new growth engine, though the transformation has taken years and remains in progress [1]. AI Deployment (2/2): Pearson has shipped AI study tools to US higher-education customers, with management citing 'accelerating demand for reskilling in an AI-driven world' and rising AI study-tool adoption as a specific driver of H1 2026 growth [2]. Market Share (1/2): Pearson holds a strong position in UK/international Assessment &amp; Qualifications but faces intensifying competition from Coursera, Chegg-style AI tutoring, and free generative-AI study tools, without clear evidence of share gains. Product Pipeline (1/2): 2026 segment guidance (mid-single-digit growth, £640-685M adjusted operating profit) is specific but lacks named next-gen product launch dates [2]. R&amp;D Intensity (0/1): No disclosed R&amp;D-to-revenue figure benchmarked against peers was found.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Pearson's stated purpose of 'helping people make progress in their lives through learning' is clear and connects to a meaningful outcome, but the language is largely interchangeable with peer education companies and has not been consistently validated — Pearson has repeatedly restructured (divesting Penguin Random House stake, the Financial Times, and other legacy media assets) rather than showing decades of stable strategic continuity [1]. Community Impact (1/2): Pearson publishes sustainability reports citing a 33% reduction in Scope 1-3 emissions versus a 2018 baseline and general DEI/inclusive-learning programs, but no distinctive, dollar-quantified community investment was found [4]. Employee Retention (0/2): No tenure, turnover, or engagement data was found in research. Insider Buying (0/2): No evidence of meaningful net insider buying by CEO Omar Abbosh or other executives was found.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as a dividend payer. Debt-to-equity of 52% clears the ≤70% target for a full 1.0 score. ROE of 9.09% scores 0.61 against the 15% target. Revenue growth of roughly 4% (H1 2026 underlying) scores 0.80 against the 10% target, while the softer 5-year revenue CAGR of ~1.06% scores 0.40. Forward P/E of 16.19 clears the ≤20 target for 1.0. Profit margin of 9.39% scores 0.47 against the 20% target. On dividend metrics: payout ratio of 51.52% scores 0.81; consecutive years paid (~5, since the 2021 post-pandemic resumption, double-weighted) scores 0.50; consecutive years of dividend growth (2) scores 0.20; and 5-year dividend growth (~22% average annual increase, double-weighted) clears the 6% target for 1.0. Combined weighted score: 7/10.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Pearson shows a genuine but frequently-reshuffled sense of purpose. The stated mission of helping people 'make progress in their lives through learning' has some substance, and the company has undergone a real existential-flexibility pivot from print/media conglomerate to digital learning and assessment. However, a decade of major divestitures (Penguin Random House stake, Financial Times) and a series of CEO transitions suggest a company still searching for strategic identity rather than one with decades of consistent execution against a Just Cause [1].</w:t>
      </w:r>
    </w:p>
    <w:p>
      <w:pPr>
        <w:spacing w:before="200" w:after="40"/>
      </w:pPr>
      <w:r>
        <w:rPr>
          <w:rFonts w:ascii="Calibri" w:hAnsi="Calibri"/>
          <w:b/>
          <w:color w:val="1A2010"/>
          <w:sz w:val="22"/>
        </w:rPr>
        <w:t>Just Cause</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The purpose of advancing lifelong learning is service-oriented and genuine, and recent strategic moves (Virtual Learning expansion, AI upskilling partnerships) trace back to it, but the cause has not been tested by decades of consistent execution — Pearson's portfolio has been repeatedly reshaped by financial pressure rather than singular purpose [1].</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No major red flags (mass layoffs, cultural scandals) or standout positive signals (retention data, tenure statistics) were found in research, placing Pearson at an average, unremarkable level of organizational trust.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Management commentary frames AI-driven disruption and competitors like Coursera and free AI tutoring tools as threats to be countered through Pearson's own AI products, rather than acknowledging specific competitor strengths as a spur for self-improvement [3].</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Pearson has fundamentally reinvented itself — divesting its stake in Penguin Random House and selling the Financial Times to exit legacy consumer publishing and media, while pivoting the core business toward digital Virtual Learning, Assessment &amp; Qualifications, and AI-enabled Enterprise Learning &amp; Skills, a genuine, multi-year business-model transformation [1].</w:t>
      </w:r>
    </w:p>
    <w:p>
      <w:pPr>
        <w:spacing w:before="200" w:after="40"/>
      </w:pPr>
      <w:r>
        <w:rPr>
          <w:rFonts w:ascii="Calibri" w:hAnsi="Calibri"/>
          <w:b/>
          <w:color w:val="1A2010"/>
          <w:sz w:val="22"/>
        </w:rPr>
        <w:t>Courage To Lead</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Pearson has committed to the AI-enabled digital pivot and made costly portfolio divestitures to fund it, but CEO Omar Abbosh's tenure (since early 2024) is still early, and there is limited evidence yet of leadership sacrificing near-term earnings for a specific long-term bet beyond the ongoing digital transition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Pearson delivered accelerating H1 2026 results with underlying revenue up 4% to £1.78 billion and adjusted operating profit up 14% to £276 million, driven by 19% growth in Virtual Learning and rising demand for AI study tools in US higher education [1][2]. Management reaffirmed FY2026 guidance for mid-single-digit underlying revenue growth and £640-685 million adjusted operating profit, and the balance sheet is conservative with D/E of 52% and a forward P/E of 16.19 that looks reasonable against the growth reacceleration. The 2.07% dividend yield, 51.52% payout ratio, and roughly 22% average annual dividend growth over five years support the Dividend sleeve classification.</w:t>
      </w:r>
    </w:p>
    <w:p>
      <w:pPr>
        <w:spacing w:after="120"/>
      </w:pPr>
      <w:r>
        <w:rPr>
          <w:rFonts w:ascii="Calibri" w:hAnsi="Calibri"/>
          <w:b w:val="0"/>
          <w:color w:val="3A4A28"/>
          <w:sz w:val="20"/>
        </w:rPr>
        <w:t>The core risk is that Pearson's Higher Education courseware and homework-help businesses face genuine generative-AI substitution risk — the same dynamic that damaged Chegg's business model — even as Pearson tries to get ahead of it by selling its own AI study tools [1][3]. ROE of 9.09% and a 5-year revenue CAGR of only ~1.06% show the underlying growth reacceleration is recent and unproven over a full cycle, while a decade of major divestitures (Penguin Random House, Financial Times) points to a company still finding its strategic footing. A faith-alignment score of 0 (MIXED) reflects a lack of strong positive or negative attributions rather than any specific controversy.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Virtual Learning growth of 19% YoY and rising AI study-tool adoption in US higher education could sustain the recent revenue reacceleration through 2026-2027</w:t>
      </w:r>
    </w:p>
    <w:p>
      <w:pPr>
        <w:spacing w:before="40" w:after="40"/>
        <w:ind w:left="283"/>
      </w:pPr>
      <w:r>
        <w:rPr>
          <w:rFonts w:ascii="Calibri" w:hAnsi="Calibri"/>
          <w:b/>
          <w:color w:val="4A6B25"/>
          <w:sz w:val="20"/>
        </w:rPr>
        <w:t xml:space="preserve">2. </w:t>
      </w:r>
      <w:r>
        <w:rPr>
          <w:rFonts w:ascii="Calibri" w:hAnsi="Calibri"/>
          <w:b w:val="0"/>
          <w:color w:val="3A4A28"/>
          <w:sz w:val="20"/>
        </w:rPr>
        <w:t>Enterprise Learning &amp; Skills growth (+7% H1 2026) from AI-upskilling partnerships with IBM and Cognizant opens a new B2B growth channel</w:t>
      </w:r>
    </w:p>
    <w:p>
      <w:pPr>
        <w:spacing w:before="40" w:after="40"/>
        <w:ind w:left="283"/>
      </w:pPr>
      <w:r>
        <w:rPr>
          <w:rFonts w:ascii="Calibri" w:hAnsi="Calibri"/>
          <w:b/>
          <w:color w:val="4A6B25"/>
          <w:sz w:val="20"/>
        </w:rPr>
        <w:t xml:space="preserve">3. </w:t>
      </w:r>
      <w:r>
        <w:rPr>
          <w:rFonts w:ascii="Calibri" w:hAnsi="Calibri"/>
          <w:b w:val="0"/>
          <w:color w:val="3A4A28"/>
          <w:sz w:val="20"/>
        </w:rPr>
        <w:t>Continued margin expansion (adjusted operating profit +14% in H1 2026) as the digital/AI mix increases could drive multiple re-rating from the current 16.19x forward P/E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Generative-AI tools (free tutoring, AI-written study aids) pose direct substitution risk to Pearson's Higher Education courseware and assessment-prep businesses, echoing the disruption seen at ed-tech peers</w:t>
      </w:r>
    </w:p>
    <w:p>
      <w:pPr>
        <w:spacing w:before="40" w:after="40"/>
        <w:ind w:left="283"/>
      </w:pPr>
      <w:r>
        <w:rPr>
          <w:rFonts w:ascii="Calibri" w:hAnsi="Calibri"/>
          <w:b/>
          <w:color w:val="4A6B25"/>
          <w:sz w:val="20"/>
        </w:rPr>
        <w:t xml:space="preserve">2. </w:t>
      </w:r>
      <w:r>
        <w:rPr>
          <w:rFonts w:ascii="Calibri" w:hAnsi="Calibri"/>
          <w:b w:val="0"/>
          <w:color w:val="3A4A28"/>
          <w:sz w:val="20"/>
        </w:rPr>
        <w:t>5-year revenue CAGR of only ~1.06% and EPS decline of -20.16% YoY show the current growth reacceleration is recent and not yet proven across a full cycle</w:t>
      </w:r>
    </w:p>
    <w:p>
      <w:pPr>
        <w:spacing w:before="40" w:after="40"/>
        <w:ind w:left="283"/>
      </w:pPr>
      <w:r>
        <w:rPr>
          <w:rFonts w:ascii="Calibri" w:hAnsi="Calibri"/>
          <w:b/>
          <w:color w:val="4A6B25"/>
          <w:sz w:val="20"/>
        </w:rPr>
        <w:t xml:space="preserve">3. </w:t>
      </w:r>
      <w:r>
        <w:rPr>
          <w:rFonts w:ascii="Calibri" w:hAnsi="Calibri"/>
          <w:b w:val="0"/>
          <w:color w:val="3A4A28"/>
          <w:sz w:val="20"/>
        </w:rPr>
        <w:t>A decade of major portfolio divestitures (Penguin Random House stake, Financial Times) and multiple CEO transitions suggest ongoing strategic uncertainty about Pearson's core identity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Pearson's Assessment &amp; Qualifications business (government exam certification, regulated testing) has real defensive moats against AI substitution, but the Higher Education courseware and homework-help businesses face genuine substitution risk from free generative-AI tutoring tools — an analog to the disruption that hit AI-exposed ed-tech peers like Chegg [1][3]. Management is actively repositioning around AI rather than denying the risk, embedding AI into Virtual Learning and Enterprise Learning &amp; Skills, which mitigates but does not eliminate exposure in legacy courseware. AI Opportunity (1/1): Pearson explicitly attributes part of its 2026 growth to rising demand for its AI study tools in US higher education and AI-upskilling enrollment in Enterprise Learning &amp; Skills, a quantifiable AI revenue driver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Pearson Interim Results for the Six Months to 30 June 2026 — PRNewswire, Investing.com, DirectorsTalk, July-August 2026</w:t>
      </w:r>
    </w:p>
    <w:p>
      <w:pPr>
        <w:spacing w:before="20" w:after="20"/>
        <w:ind w:left="170"/>
      </w:pPr>
      <w:r>
        <w:rPr>
          <w:rFonts w:ascii="Calibri" w:hAnsi="Calibri"/>
          <w:b/>
          <w:color w:val="4A6B25"/>
          <w:sz w:val="15"/>
        </w:rPr>
        <w:t xml:space="preserve">2. </w:t>
      </w:r>
      <w:r>
        <w:rPr>
          <w:rFonts w:ascii="Calibri" w:hAnsi="Calibri"/>
          <w:b w:val="0"/>
          <w:color w:val="3A4A28"/>
          <w:sz w:val="17"/>
        </w:rPr>
        <w:t>Pearson (PSO) Financial Ratios and Statistics — Stock Analysis, accessed August 2026</w:t>
      </w:r>
    </w:p>
    <w:p>
      <w:pPr>
        <w:spacing w:before="20" w:after="20"/>
        <w:ind w:left="170"/>
      </w:pPr>
      <w:r>
        <w:rPr>
          <w:rFonts w:ascii="Calibri" w:hAnsi="Calibri"/>
          <w:b/>
          <w:color w:val="4A6B25"/>
          <w:sz w:val="15"/>
        </w:rPr>
        <w:t xml:space="preserve">3. </w:t>
      </w:r>
      <w:r>
        <w:rPr>
          <w:rFonts w:ascii="Calibri" w:hAnsi="Calibri"/>
          <w:b w:val="0"/>
          <w:color w:val="3A4A28"/>
          <w:sz w:val="17"/>
        </w:rPr>
        <w:t>Pearson CEO Omar Abbosh on AI in Education — Irish Times, Semafor, plc.pearson.com, accessed August 2026</w:t>
      </w:r>
    </w:p>
    <w:p>
      <w:pPr>
        <w:spacing w:before="20" w:after="20"/>
        <w:ind w:left="170"/>
      </w:pPr>
      <w:r>
        <w:rPr>
          <w:rFonts w:ascii="Calibri" w:hAnsi="Calibri"/>
          <w:b/>
          <w:color w:val="4A6B25"/>
          <w:sz w:val="15"/>
        </w:rPr>
        <w:t xml:space="preserve">4. </w:t>
      </w:r>
      <w:r>
        <w:rPr>
          <w:rFonts w:ascii="Calibri" w:hAnsi="Calibri"/>
          <w:b w:val="0"/>
          <w:color w:val="3A4A28"/>
          <w:sz w:val="17"/>
        </w:rPr>
        <w:t>Pearson Sustainable Business Strategy and ESG Performance Data — plc.pearson.com,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Pearson plc Dividend History — stockinvest.us, dividendmax.com,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