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PTEN</w:t>
      </w:r>
      <w:r>
        <w:rPr>
          <w:rFonts w:ascii="Calibri" w:hAnsi="Calibri"/>
          <w:b/>
          <w:color w:val="1A2010"/>
          <w:sz w:val="40"/>
        </w:rPr>
        <w:t xml:space="preserve">  Patterson-UTI Energy, Inc.</w:t>
      </w:r>
    </w:p>
    <w:p>
      <w:pPr>
        <w:spacing w:after="120"/>
      </w:pPr>
      <w:r>
        <w:rPr>
          <w:rFonts w:ascii="Calibri" w:hAnsi="Calibri"/>
          <w:b/>
          <w:color w:val="6E8450"/>
          <w:sz w:val="18"/>
        </w:rPr>
        <w:t>DIVIDEND SLEEVE · 2026-08-17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Drilling · NASDAQ · United States</w:t>
      </w:r>
    </w:p>
    <w:p>
      <w:pPr>
        <w:spacing w:after="80"/>
      </w:pPr>
      <w:r>
        <w:rPr>
          <w:rFonts w:ascii="Calibri" w:hAnsi="Calibri"/>
          <w:b w:val="0"/>
          <w:color w:val="3A4A28"/>
          <w:sz w:val="20"/>
        </w:rPr>
        <w:t>Patterson-UTI Energy provides drilling and completion services to oil and natural gas exploration and production companies through Drilling Services, Completion Services, and Drilling Products segments. Following its 2023 merger with NexTier Oilfield Solutions, PTEN is one of the largest integrated drilling and completions companies in North America. Q2 2026 revenue of $1.23B (+10% sequentially) beat estimates by 5.9%, with all segments improving margins. Average rig count of 92 is expected to reach ~100 in Q3, with new contracts securing 10-15% higher day rates.</w:t>
      </w:r>
    </w:p>
    <w:p>
      <w:r>
        <w:rPr>
          <w:rFonts w:ascii="Calibri" w:hAnsi="Calibri"/>
          <w:b/>
          <w:color w:val="6E8450"/>
          <w:sz w:val="18"/>
        </w:rPr>
        <w:t>7,900 Employees · https://www.patenergy.com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2023 NexTier merger created a vertically integrated drilling and completions platform, but execution has been challenged by a cyclical oilfield downturn — TTM revenue of $4.67B is down from peak levels, and GAAP earnings remain negative [1]. Q2 2026 shows recovery with 10% sequential revenue growth, rig count increasing from 92 to ~100, and new contracts at 10-15% higher day rates, but this is cyclical recovery, not innovation-driven growth. AI Deployment (1/2): PTEN deploys AI-powered Digital Twin Technology for predictive analytics on frac trailers, improving equipment performance and reducing downtime costs [2]. HiFi Nav and FDIR measurement-while-drilling systems use real-time data analytics to optimize well placement. Specific dollar savings have not been quantified publicly. Market Share (1/2): PTEN operates one of the largest drilling fleets in North America with 92 active rigs (growing to ~100), and Drilling Products achieved record quarterly revenue of $91M with record international revenue [1]. However, the overall OFS market is cyclically depressed and market position is maintained rather than gained. Product Pipeline (1/2): Management targets ~90% of active horsepower to be natural gas-powered by year-end 2026, and the mobile power generation platform positions PTEN for AI data center power demand [2]. Drilling Products international expansion is showing tangible results with record revenue. R&amp;D Intensity (1/1): Investment in MWD systems, drilling automation, digital twin technology, EcoCell battery hybrid power management, and natural gas conversion demonstrates above-industry technology commitment for an OFS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PTEN articulates its purpose around providing safe, efficient, and environmentally responsible drilling and completion solutions, publishing annual sustainability reports aligned with SASB and TCFD frameworks [3]. The mission is operational and clear — it identifies what the company does, for whom, and with what values — but does not articulate a transformative vision beyond the current industry. Community Impact (1/2): PTEN is a significant employer in rural US oil basin communities (7,900 employees) and publishes sustainability reports with environmental targets including natural gas conversion of ~90% of active horsepower [3]. No specific dollar amounts for community investment or distinctive charitable programs were identified. Employee Retention (1/2): Glassdoor rating of 4.2/5 with 100% CEO approval for Andy Hendricks is notably strong for oilfield services where harsh field conditions typically depress ratings [2]. Culture &amp; values rated 3.8, Diversity &amp; Inclusion 3.9, Senior Management 3.9. CEO tenure of 12+ years provides leadership stability. However, work-life balance challenges typical of field operations persist. Insider Buying (0/2): No evidence of meaningful net insider buying by executives was identified. The 25% dividend increase to $0.10/quarter signals corporate confidence but is not personal insider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with payout ratio excluded (negative GAAP earnings). D/E of 41% scores 1.0 (target &lt;=70%, well below floor). ROE of -2.77% scores 0.0 (below 0% floor) [4]. Revenue Growth YoY of ~-5% (TTM, improving from -13% in Q1 to flat in Q2) scores 0.50. Revenue Growth 5yr CAGR of ~5% (including NexTier merger effect) scores 0.667. Forward P/E of 56.65 scores 0.084 (target &lt;=20, floor 60, just below floor). Profit Margin of -1.92% scores 0.0 (below 0% floor). Payout ratio excluded — negative earnings make the metric meaningless [4]. Consecutive Years Paid of 23 scores 1.0 at 2x weight. Consecutive Years Growth of 3 scores 0.3. 5yr Dividend Growth CAGR of ~30% (COVID recovery inflated) scores 1.0 at 2x weight. Weighted sum: 6.55 / max 11 = 0.596, Infrastructure = 6/10. Liquidity: 9.03M avg volume x $11.51 = $104M, above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Patterson-UTI demonstrates mixed infinite game characteristics through its 48-year history, the transformative NexTier merger, and willingness to invest in technology (digital twins, natural gas conversion, power solutions) during a cyclical downturn. CEO Hendricks' 12+ year tenure and 100% Glassdoor approval signal stable, trusted leadership. However, oilfield services is inherently cyclical with strategic horizons constrained by commodity price cycles and E&amp;P capital spending decisions PTEN cannot control, and the company's purpose remains operational rather than cause-driven.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PTEN's purpose centers on providing efficient, safe, and environmentally responsible drilling and completion services [3]. The sustainability commitments (SASB/TCFD alignment, natural gas conversion, environmental targets) add forward-looking dimension, and the 48-year operating history demonstrates resilience through multiple industry cycles. However, the core purpose is operationally defined — it describes what the company does well, not a vision of a future worth building toward. Sinek would note that operational excellence is admirable but not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4.2/5 overall with 100% CEO approval, Culture &amp; Values 3.8, and Senior Management 3.9 are exceptionally strong for oilfield services, where harsh field conditions and cyclical layoffs typically erode trust [2]. CEO Andy Hendricks has led since 2012, providing 12+ years of leadership continuity. However, the nature of field service work — remote locations, physical demands, cyclical employment — creates structural challenges for organizational trust across the 7,900-person workforce.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PTEN competes against Halliburton, Liberty Energy, and Helmerich &amp; Payne and uses competitive dynamics to drive improvement rather than destruction [2]. The NexTier merger was a learn-and-adapt response to industry consolidation trends. The company's investment in technology differentiation (MWD systems, digital twins, EcoCell) reflects a mindset of competitive self-improvement, and management frames Q2 results in terms of operational gains (10-15% day rate improvement, margin expansion)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2023 NexTier merger transformed PTEN from a pure drilling company into an integrated drilling and completions platform, fundamentally reshaping the business [1]. The emerging power solutions strategy for AI data centers and grid-adjacent applications represents another potential strategic evolution. The natural gas conversion initiative (~90% of HP by year-end) positions the company for the energy transition. However, all moves remain within the oilfield services ecosystem — the company has not demonstrated willingness to fundamentally reimagine its business beyond hydrocarbons.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PTEN increased its dividend 25% to $0.10/quarter in 2026 despite negative GAAP earnings and a cyclical downturn, signaling confidence in free cash flow generation ($178M TTM FCF) [4]. Investing $600M in annual capex and maintaining technology commitments during an earnings trough requires conviction. The Colombia exit (taking $21M in charges) shows willingness to walk away from unprofitable operations. However, the dividend increase during negative earnings raises questions about whether this is courage or shareholder appeasement — sustainable capital allocation would prioritize debt reduction or investment over payouts from cash flow.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Patterson-UTI at $11.51 is a leading integrated OFS provider showing cyclical recovery after a prolonged downturn. Q2 2026 revenue of $1.23B beat estimates by 5.9% with 10% sequential growth, all segments improving margins, and Drilling Products hitting record $91M revenue [1]. Rig count is expanding from 92 to ~100 with new contracts securing 10-15% higher day rates, and Q3 guidance was raised across all segments. The 3.52% dividend yield (23 consecutive years of payment) and 2.01% buyback yield provide 5.5% total shareholder return. D/E of 41% is conservative for OFS, with $201M cash, and the company generates $178M TTM free cash flow despite negative GAAP earnings [4]. The power solutions opportunity from AI data center demand, combined with ~90% natural gas-powered HP by year-end, positions PTEN for the energy transition and new revenue streams [2]. The Inspire Impact Score of 40 (ALIGNED) with 10 positive attributions reflects strong ESG positioning for an energy services company.</w:t>
      </w:r>
    </w:p>
    <w:p>
      <w:pPr>
        <w:spacing w:after="120"/>
      </w:pPr>
      <w:r>
        <w:rPr>
          <w:rFonts w:ascii="Calibri" w:hAnsi="Calibri"/>
          <w:b w:val="0"/>
          <w:color w:val="3A4A28"/>
          <w:sz w:val="20"/>
        </w:rPr>
        <w:t>The bear case centers on persistent negative earnings, cyclical uncertainty, and limited structural growth. Forward P/E of 56.65 reflects deeply depressed earnings expectations — trailing net loss of $90M with profit margin of -1.92% means the company is not currently generating returns for shareholders despite $4.67B in revenue [4]. TTM revenue is declining ~5% YoY even as Q2 2026 shows sequential improvement, and consensus forecasts only 3% annual revenue growth over the next three years. The dividend ($0.40/year) is funded from free cash flow rather than profits, with GAAP payout ratio not meaningful — any further deterioration in oilfield activity could force a dividend cut for the first time since the 2020 COVID period. The energy transition poses a structural long-term risk to oil and gas drilling demand, and PTEN's power solutions opportunity, while promising, remains early-stage and not yet material to revenue. The stock's 104% 52-week gain from the $5.10 low may have priced in much of the cyclical recovery [4]. Colombia exit charges of $21M and international market uncertainty add operational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rig count recovery accelerating — PTEN expanding from 92 to ~100 rigs in Q3 with new contracts at 10-15% higher day rates, which at PTEN's operating leverage could restore positive GAAP earnings by H2 2026 [1]</w:t>
      </w:r>
    </w:p>
    <w:p>
      <w:pPr>
        <w:spacing w:before="40" w:after="40"/>
        <w:ind w:left="283"/>
      </w:pPr>
      <w:r>
        <w:rPr>
          <w:rFonts w:ascii="Calibri" w:hAnsi="Calibri"/>
          <w:b/>
          <w:color w:val="4A6B25"/>
          <w:sz w:val="20"/>
        </w:rPr>
        <w:t xml:space="preserve">2. </w:t>
      </w:r>
      <w:r>
        <w:rPr>
          <w:rFonts w:ascii="Calibri" w:hAnsi="Calibri"/>
          <w:b w:val="0"/>
          <w:color w:val="3A4A28"/>
          <w:sz w:val="20"/>
        </w:rPr>
        <w:t>Power solutions and natural gas fueling platform positioned to capture AI data center power demand, with ~90% of active HP natural gas-powered by year-end creating a competitive moat in clean energy OFS [2]</w:t>
      </w:r>
    </w:p>
    <w:p>
      <w:pPr>
        <w:spacing w:before="40" w:after="40"/>
        <w:ind w:left="283"/>
      </w:pPr>
      <w:r>
        <w:rPr>
          <w:rFonts w:ascii="Calibri" w:hAnsi="Calibri"/>
          <w:b/>
          <w:color w:val="4A6B25"/>
          <w:sz w:val="20"/>
        </w:rPr>
        <w:t xml:space="preserve">3. </w:t>
      </w:r>
      <w:r>
        <w:rPr>
          <w:rFonts w:ascii="Calibri" w:hAnsi="Calibri"/>
          <w:b w:val="0"/>
          <w:color w:val="3A4A28"/>
          <w:sz w:val="20"/>
        </w:rPr>
        <w:t>Drilling Products segment hitting record $91M quarterly revenue with record international sales, demonstrating diversification beyond cyclical North American drilling activity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GAAP profit margin of -1.92% and ROE of -2.77% mean the company is currently destroying equity value — recovery depends on sustained rig count and day rate improvement that could reverse if oil prices weaken or E&amp;P capital discipline tightens [4]</w:t>
      </w:r>
    </w:p>
    <w:p>
      <w:pPr>
        <w:spacing w:before="40" w:after="40"/>
        <w:ind w:left="283"/>
      </w:pPr>
      <w:r>
        <w:rPr>
          <w:rFonts w:ascii="Calibri" w:hAnsi="Calibri"/>
          <w:b/>
          <w:color w:val="4A6B25"/>
          <w:sz w:val="20"/>
        </w:rPr>
        <w:t xml:space="preserve">2. </w:t>
      </w:r>
      <w:r>
        <w:rPr>
          <w:rFonts w:ascii="Calibri" w:hAnsi="Calibri"/>
          <w:b w:val="0"/>
          <w:color w:val="3A4A28"/>
          <w:sz w:val="20"/>
        </w:rPr>
        <w:t>Dividend of $0.40/year (3.52% yield) is funded by FCF during a period of negative earnings — any further activity decline could force a cut to the 23-year consecutive payment streak, which would be the second cut in six years after 2020 [4]</w:t>
      </w:r>
    </w:p>
    <w:p>
      <w:pPr>
        <w:spacing w:before="40" w:after="40"/>
        <w:ind w:left="283"/>
      </w:pPr>
      <w:r>
        <w:rPr>
          <w:rFonts w:ascii="Calibri" w:hAnsi="Calibri"/>
          <w:b/>
          <w:color w:val="4A6B25"/>
          <w:sz w:val="20"/>
        </w:rPr>
        <w:t xml:space="preserve">3. </w:t>
      </w:r>
      <w:r>
        <w:rPr>
          <w:rFonts w:ascii="Calibri" w:hAnsi="Calibri"/>
          <w:b w:val="0"/>
          <w:color w:val="3A4A28"/>
          <w:sz w:val="20"/>
        </w:rPr>
        <w:t>Energy transition and ESG-driven capital allocation shifts by E&amp;P companies could structurally reduce long-term drilling demand, and PTEN's diversification into power solutions remains early-stage and not yet revenue-material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Patterson-UTI's core drilling and completion services are physical, field-based operations that AI cannot replace — wells must be physically drilled, fractured, and completed regardless of automation advances [2]. This structural moat is real. However, AI-driven efficiency gains in E&amp;P operations could reduce the number of wells needed per unit of production, potentially shrinking PTEN's addressable market over time. The company's own AI adoption (digital twins, MWD analytics) helps competitiveness but also drives fewer crew-hours per well, compressing service pricing. AI is neither an existential threat nor irrelevant — it reshapes how the work is done and how much work exists. AI Opportunity (1/1): AI data center buildout is driving massive demand for reliable power, and PTEN's mobile power generation, natural gas fueling capabilities, and EcoCell battery hybrid systems position it to capture emerging power services revenue [2]. Management explicitly discusses this opportunity, and the ~90% natural gas conversion target aligns with data center and grid-adjacent power demand. This is early-stage but represents a genuine new revenue stream enabled by the AI infrastructure boom.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Patterson-UTI Energy Q2 2026 Earnings Release — Revenue $1.228B (+10% sequential, flat YoY), Net Loss $20M, Adjusted EBITDA $232M, Rig Count 92 (Q3 target ~100), Drilling Products Record $91M, Day Rates +10-15%, July 2026</w:t>
      </w:r>
    </w:p>
    <w:p>
      <w:pPr>
        <w:spacing w:before="20" w:after="20"/>
        <w:ind w:left="170"/>
      </w:pPr>
      <w:r>
        <w:rPr>
          <w:rFonts w:ascii="Calibri" w:hAnsi="Calibri"/>
          <w:b/>
          <w:color w:val="4A6B25"/>
          <w:sz w:val="15"/>
        </w:rPr>
        <w:t xml:space="preserve">2. </w:t>
      </w:r>
      <w:r>
        <w:rPr>
          <w:rFonts w:ascii="Calibri" w:hAnsi="Calibri"/>
          <w:b w:val="0"/>
          <w:color w:val="3A4A28"/>
          <w:sz w:val="17"/>
        </w:rPr>
        <w:t>Patterson-UTI Technology, AI &amp; Innovation — Digital Twin Predictive Analytics, HiFi Nav MWD, EcoCell Battery Hybrid, Natural Gas Conversion ~90%, Power Solutions for Data Centers, Glassdoor 4.2/5, CEO Hendricks 100% Approval,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Patterson-UTI Sustainability Report — SASB/TCFD Alignment, Environmental Targets, Community Impact, Corporate Responsibility Program,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PTEN Key Statistics: Stock Price $11.51, Forward PE 56.65, D/E 41%, ROE -2.77%, Profit Margin -1.92%, Avg Volume 9.03M, Dividend Yield 3.52%, FCF $178M,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