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RANI</w:t>
      </w:r>
      <w:r>
        <w:rPr>
          <w:rFonts w:ascii="Calibri" w:hAnsi="Calibri"/>
          <w:b/>
          <w:color w:val="1A2010"/>
          <w:sz w:val="40"/>
        </w:rPr>
        <w:t xml:space="preserve">  Rani Therapeutics Holdings, Inc.</w:t>
      </w:r>
    </w:p>
    <w:p>
      <w:pPr>
        <w:spacing w:after="120"/>
      </w:pPr>
      <w:r>
        <w:rPr>
          <w:rFonts w:ascii="Calibri" w:hAnsi="Calibri"/>
          <w:b/>
          <w:color w:val="6E8450"/>
          <w:sz w:val="18"/>
        </w:rPr>
        <w:t>GROWTH SLEEVE · 2026-08-07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Rani Therapeutics is a clinical-stage biotherapeutics company developing the RaniPill, a robotic oral-delivery capsule designed to deliver biologics (peptides, proteins, antibodies, oligonucleotides) that today require injection. The platform aims to give patients and healthcare providers an oral alternative to injectable medications, with the current lead program (RT-114, an oral GLP-1/GLP-2 dual agonist) in Phase 1 development with partner ProGen.</w:t>
      </w:r>
    </w:p>
    <w:p>
      <w:r>
        <w:rPr>
          <w:rFonts w:ascii="Calibri" w:hAnsi="Calibri"/>
          <w:b/>
          <w:color w:val="6E8450"/>
          <w:sz w:val="18"/>
        </w:rPr>
        <w:t>71 Employees · https://www.ranitherapeutics.com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Rani has completed three Phase 1 clinical trials and preclinical evaluation of 19 diverse molecules on its RaniPill platform, and in 2026 initiated a new Phase 1 study of RT-114 (an oral GLP-1/GLP-2 dual agonist) through a partnership with ProGen — a genuine new pipeline direction into the large obesity market [1][4]. AI Deployment (0/2): No evidence of AI-driven drug discovery or manufacturing tools was found. Market Share (0/2): Rani has no commercial product and no revenue-generating market position; oral-biologics delivery remains a nascent, unproven category. Product Pipeline (1/2): The RT-114/ProGen Phase 1 study is specific and named, but lacks disclosed commercialization timelines or revenue visibility [1]. R&amp;D Intensity (1/1): As a clinical-stage biotech with de minimis revenue ($1.63M FY2025) and a $29.67M net loss, essentially all spend is R&amp;D-related, well above a typical commercial-stage peer's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Rani's purpose — eliminating the need for injections by enabling biologic drugs to be taken as a pill — is specific, patient-centric, and clearly differentiated from generic biotech mission statements, directly addressing needle aversion and access barriers [4]. Community Impact (0/2): No evidence of charitable giving or community investment programs was found. Employee Retention (0/2): Glassdoor reviews (3.8/5 overall, 28 reviews) cite 'nepotism,' 'disorganization,' 'changing project directions,' and 'multiple layoffs,' pointing to instability rather than mission-driven retention [3]. Insider Buying (0/2): No evidence of meaningful net insider buying by CEO Talat Imran or other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$543,766 (696,086 shares × $0.7811) falls below the $1,000,000 minimum liquidity threshold, so Infrastructure is scored 0 regardless of other metrics per the hard rule. For reference, the underlying metrics are also weak: ROE of -94.03%, TTM profit margin of -1,143%, and negative net income of $29.44 million against TTM revenue of only $3.17 million, reflecting a pre-commercial clinical-stage biotech burning cash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Rani Therapeutics has pursued a single, genuinely patient-centered cause — replacing injectable biologics with an oral pill — consistently since its founding, which counts for something in Sinek's framework. However, persistent net losses, a 2026 CFO transition, and Glassdoor reviews citing nepotism, disorganization, and multiple layoffs suggest an organization still fighting for survival rather than one demonstrating the stability and trust of a mature infinite player [1][3].</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Eliminating the need for injections in biologic medicine is a genuinely service-oriented, patient-focused cause that Rani has pursued consistently for over a decade of clinical development, but it remains unproven commercially with no approved product generating meaningful revenue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specifically cite nepotism, disorganization, changing project direction, and multiple layoffs — clear low-trust signals rather than the psychological safety Sinek looks for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Rani acknowledging competitors (e.g., Applied Molecular Transport) in the oral-biologics-delivery space as a spur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Rani's 2026 pivot toward the obesity/GLP-1 market with the RT-114/ProGen partnership shows willingness to redirect its core RaniPill platform toward a larger commercial opportunity, but the underlying delivery-platform business model itself has not changed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fund a decade-plus clinical program through repeated losses and a 2026 CFO transition, rather than abandoning the platform, shows some conviction, but no specific costly strategic bet beyond continued operation was identified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Rani Therapeutics remains a clinical-stage story: TTM revenue grew 164.08% YoY to $3.17 million (from a tiny base), and the company reported a narrowing Q1 2026 loss with $43 million in cash, giving it runway to advance its lead program, RT-114, an oral GLP-1/GLP-2 dual agonist partnered with ProGen and now in Phase 1 [1]. The RaniPill platform addresses a genuine unmet need — replacing injectable biologics with an oral pill — and the pivot toward the large obesity/GLP-1 market gives the story a much bigger addressable opportunity than prior indications.</w:t>
      </w:r>
    </w:p>
    <w:p>
      <w:pPr>
        <w:spacing w:after="120"/>
      </w:pPr>
      <w:r>
        <w:rPr>
          <w:rFonts w:ascii="Calibri" w:hAnsi="Calibri"/>
          <w:b w:val="0"/>
          <w:color w:val="3A4A28"/>
          <w:sz w:val="20"/>
        </w:rPr>
        <w:t>The stock fails IOWN's liquidity floor: average daily dollar volume of roughly $543,766 falls below the $1 million minimum, forcing Infrastructure to a hard 0 regardless of fundamentals. Layered on top are ROE of -94.03%, a profit margin near -1,143%, a recent CFO transition, and Glassdoor reviews citing nepotism, disorganization, and multiple layoffs — all signs of an organization still in survival mode. AI risk is minimal given the physical/regulatory nature of the device, and the Inspire Impact Score of 33 (ALIGNED) is a mild positive, but the combination of illiquidity and cash-burn risk makes this purely speculative.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 data readout for RT-114 (oral GLP-1/GLP-2 dual agonist) could validate RaniPill's applicability to the large obesity drug market if bioavailability results are competitive with injectables</w:t>
      </w:r>
    </w:p>
    <w:p>
      <w:pPr>
        <w:spacing w:before="40" w:after="40"/>
        <w:ind w:left="283"/>
      </w:pPr>
      <w:r>
        <w:rPr>
          <w:rFonts w:ascii="Calibri" w:hAnsi="Calibri"/>
          <w:b/>
          <w:color w:val="4A6B25"/>
          <w:sz w:val="20"/>
        </w:rPr>
        <w:t xml:space="preserve">2. </w:t>
      </w:r>
      <w:r>
        <w:rPr>
          <w:rFonts w:ascii="Calibri" w:hAnsi="Calibri"/>
          <w:b w:val="0"/>
          <w:color w:val="3A4A28"/>
          <w:sz w:val="20"/>
        </w:rPr>
        <w:t>Additional licensing/partnership deals (following the ProGen collaboration model) could bring in non-dilutive capital and de-risk the platform</w:t>
      </w:r>
    </w:p>
    <w:p>
      <w:pPr>
        <w:spacing w:before="40" w:after="40"/>
        <w:ind w:left="283"/>
      </w:pPr>
      <w:r>
        <w:rPr>
          <w:rFonts w:ascii="Calibri" w:hAnsi="Calibri"/>
          <w:b/>
          <w:color w:val="4A6B25"/>
          <w:sz w:val="20"/>
        </w:rPr>
        <w:t xml:space="preserve">3. </w:t>
      </w:r>
      <w:r>
        <w:rPr>
          <w:rFonts w:ascii="Calibri" w:hAnsi="Calibri"/>
          <w:b w:val="0"/>
          <w:color w:val="3A4A28"/>
          <w:sz w:val="20"/>
        </w:rPr>
        <w:t>$43 million cash balance as of Q1 2026 provides near-term runway without requiring immediate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approximately $543,766 is below the $1 million liquidity threshold, making the stock difficult to trade at scale and triggering an automatic Infrastructure score of 0</w:t>
      </w:r>
    </w:p>
    <w:p>
      <w:pPr>
        <w:spacing w:before="40" w:after="40"/>
        <w:ind w:left="283"/>
      </w:pPr>
      <w:r>
        <w:rPr>
          <w:rFonts w:ascii="Calibri" w:hAnsi="Calibri"/>
          <w:b/>
          <w:color w:val="4A6B25"/>
          <w:sz w:val="20"/>
        </w:rPr>
        <w:t xml:space="preserve">2. </w:t>
      </w:r>
      <w:r>
        <w:rPr>
          <w:rFonts w:ascii="Calibri" w:hAnsi="Calibri"/>
          <w:b w:val="0"/>
          <w:color w:val="3A4A28"/>
          <w:sz w:val="20"/>
        </w:rPr>
        <w:t>Net losses of roughly $29-30 million per year against TTM revenue of only $3.17 million show the company remains years from profitability and dependent on continued capital access</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nepotism, disorganization, and multiple layoffs point to organizational instability that could affect execution on clinical timelines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Rani's business is a physical, robotic drug-delivery device and its associated FDA regulatory pathway — a hardware-and-regulation-dependent business model that AI cannot substitute or replicate [4]. No analyst or industry commentary was found suggesting AI poses substitution risk to oral-biologics delivery devices; if anything, AI-assisted molecule design by partners like ProGen could expand the addressable pipeline for RaniPill. AI Opportunity (0/1): No quantified AI-related revenue or cost savings were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Rani Therapeutics Q1 2026 Financial Results and Corporate Update — BioSpace, GlobeNewswire,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Rani Therapeutics (RANI) Financial Ratios and Statistics — Stock Analysis,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Rani Therapeutics Employee Reviews and Leadership Team — Glassdoor, Zippia, theorg.com,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Rani Therapeutics RaniPill Technology Platform — ranitherapeutics.com, FierceBiotech,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