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ROIV</w:t>
      </w:r>
      <w:r>
        <w:rPr>
          <w:rFonts w:ascii="Calibri" w:hAnsi="Calibri"/>
          <w:b/>
          <w:color w:val="1A2010"/>
          <w:sz w:val="40"/>
        </w:rPr>
        <w:t xml:space="preserve">  Roivant Sciences Ltd.</w:t>
      </w:r>
    </w:p>
    <w:p>
      <w:pPr>
        <w:spacing w:after="120"/>
      </w:pPr>
      <w:r>
        <w:rPr>
          <w:rFonts w:ascii="Calibri" w:hAnsi="Calibri"/>
          <w:b/>
          <w:color w:val="6E8450"/>
          <w:sz w:val="18"/>
        </w:rPr>
        <w:t>GROWTH SLEEVE · 2026-08-23 · Inspire: 41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Kingdom</w:t>
      </w:r>
    </w:p>
    <w:p>
      <w:pPr>
        <w:spacing w:after="80"/>
      </w:pPr>
      <w:r>
        <w:rPr>
          <w:rFonts w:ascii="Calibri" w:hAnsi="Calibri"/>
          <w:b w:val="0"/>
          <w:color w:val="3A4A28"/>
          <w:sz w:val="20"/>
        </w:rPr>
        <w:t>Roivant Sciences is a clinical-stage biopharmaceutical company operating through a decentralized 'Vant' model — a family of independently led companies focused on discovering, developing, and commercializing medicines. Lead asset brepocitinib (TYK2/JAK1 inhibitor) is expected to launch for dermatomyositis by end of September 2026, pending FDA approval. IMVT-1402 (FcRn antibody) is in registrational studies across multiple autoimmune indications. The company received $950M from Moderna in a lipid nanoparticle technology settlement in July 2026. Cash position of approximately $4.7B with only $107M in debt. Market cap is approximately $26.2B.</w:t>
      </w:r>
    </w:p>
    <w:p>
      <w:r>
        <w:rPr>
          <w:rFonts w:ascii="Calibri" w:hAnsi="Calibri"/>
          <w:b/>
          <w:color w:val="6E8450"/>
          <w:sz w:val="18"/>
        </w:rPr>
        <w:t>721 Employees · https://roivant.com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Vant model represents a structural innovation in biotech — decentralized, independently led companies designed to 'scale without ever truly getting big' [1]. Roivant has executed multiple transformative deals: the $7.1B sale of Telavant (RVT-3101) to Roche in October 2023, the $950M Moderna lipid nanoparticle technology settlement received July 2026, and the $450M Silicon Therapeutics acquisition bringing computational chemistry capabilities in-house [2][3]. Brepocitinib achieved Phase 3 statistical significance on all 10 endpoints in dermatomyositis, approaching the company's first product launch. However, no approved product has yet reached market, limiting the track record to organizational and deal innovation rather than commercial success. AI Deployment (2/2): Roivant operates the QUAISAR AI/ML platform for drug discovery, predicting biomolecular interactions and optimizing clinical trial design [1]. Lokavant provides predictive analytics for clinical trial operations. The Silicon Therapeutics acquisition brought AI-designed drug discovery, and Psivant Therapeutics advances AI-designed drugs for immune conditions [3]. This represents genuine multi-layered AI deployment across the drug development lifecycle, from target identification through clinical trial optimization. Market Share (0/2): Roivant is pre-commercial with TTM revenue of $7.53M (royalties/milestones, not product sales). Brepocitinib would address 40,000-70,000 U.S. dermatomyositis patients as potentially first-in-class, but has not launched [2]. Product Pipeline (2/2): Exceptional late-stage pipeline with specific timelines. Brepocitinib: dermatomyositis launch expected by Sept 2026, Phase 3 uveitis data H2 2026, Phase 3 cutaneous sarcoidosis (BEACON+) data 2028 [2]. IMVT-1402: registrational studies in Graves' disease, myasthenia gravis, CIDP, and Sjögren's with topline data 2027-2028. Mosliciguat: Phase 2 pulmonary hypertension data H2 2026. Named products, defined indications, and specific data readout dates. R&amp;D Intensity (1/1): R&amp;D spending of $202M in Q1 FY2027 alone, totaling $681.8M for FY2026, far exceeding industry averages as a percentage of the $7.53M TTM revenue base [2][4].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Roivant's mission to 'improve the delivery of healthcare to patients by treating every inefficiency as an opportunity' is specific, thoughtful, and differentiates from peers [1]. The Vant model is a distinctive structural embodiment of this purpose — each Vant addresses a specific therapeutic opportunity with focused leadership. Roivant Social Ventures extends the mission through health equity initiatives and a published Global Access Scorecard guiding impact investors toward equitable healthcare investments [5]. The purpose connects the company's structural innovation to a broader vision of better healthcare delivery, and has been consistently referenced across leadership transitions (Ramaswamy to Gline). Community Impact (1/2): Roivant Social Ventures promotes health equity through partnerships and programs, published the Global Access Scorecard, and focuses on clinical trial diversity and shelved drugs with potential to benefit underserved populations [5]. These are genuine programs with specific objectives, though modest in scale relative to the $26.2B market capitalization. Employee Retention (0/2): With 721 employees across the Vant model, each entity has lean teams with independent leadership designed for empowerment, but no specific employee satisfaction, tenure, or turnover data is publicly available. Insider Buying (0/2): CEO Matt Gline sold $46.2M in shares across 4 sales (2,029,774 shares) in the past 6 months, with 71 total insider sales and 0 purchases company-wide during this period [6]. Gline retains 16.7M shares (~$607M), demonstrating continued alignment, but the net selling pattern earns no points under the rubric.</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 sleeve metrics. Roivant's profile reflects a pre-commercial biotech with no meaningful revenue or profitability. D/E of 2% is exceptionally low — the company carries only $107M in debt against approximately $4.7B in cash (including the $950M Moderna settlement received July 2026), giving it one of the strongest balance sheets in clinical-stage biotech [2][4]. This is the only metric scoring positively. ROE of -8.52% reflects ongoing losses as $202M/quarter in R&amp;D consumes capital [4]. Revenue declined -67.58% YoY to $7.53M TTM, though this reflects divestitures (Telavant, Dermavant) rather than operational decline — revenue consists of small royalty and milestone payments, not product sales. Profit margin is deeply negative. Forward P/E and PEG are unavailable due to negative earnings, and are excluded from calculation. The mechanical framework penalizes pre-revenue companies heavily, producing a score that understates Roivant's financial strength — the $4.7B cash position provides years of pipeline runway and the company is repurchasing shares ($209M in latest quarter). Easily clears the liquidity floor with ~$208M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Roivant embodies several infinite game principles through the Vant model — decentralized leadership, empowered teams, and a structure designed for long-term adaptability over quarterly optimization. The company invests hundreds of millions annually in R&amp;D while pre-revenue, demonstrating patience and long-term conviction. The mission to fix healthcare delivery inefficiencies has been consistently maintained through the founder transition from Ramaswamy to Gline. However, the company's competitive posture focuses on its own model superiority rather than acknowledging worthy rivals, and the cause — while genuine — remains fundamentally about process efficiency in drug development rather than a transformative vision of human health.</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Roivant's purpose of improving healthcare delivery by treating every inefficiency as an opportunity is genuine, partially lived, and connects the company's work to patient outcomes [1][5]. The Vant model is a distinctive structural commitment to this cause — not just a mission statement but an organizational design built to serve it. Roivant Social Ventures extends the cause through health equity initiatives and the Global Access Scorecard. The purpose has survived the leadership transition from Ramaswamy to Gline and continues to shape capital allocation (investing $681.8M/year in R&amp;D while pre-revenue). However, the cause has not been tested through multi-decade consistency or crisis, and the ultimate validation — launching an approved drug that improves patient outcomes — has not yet occurred.</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The Vant model is explicitly designed around trusting teams — each Vant operates as an independent company with its own leadership, decision-making authority, and strategic direction [1]. This is not a matrix organization paying lip service to empowerment; it is a structural commitment to decentralized authority. Immunovant, Psivant, Lokavant each have independent management teams with genuine autonomy. The model was 'built so it can scale without ever truly getting big,' directly embodying the principle of distributing authority rather than centralizing control. CEO Gline's smooth transition from CFO demonstrates succession planning and institutional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evidence of Roivant leadership articulating a learning-oriented competitive mindset or acknowledging specific competitors' strengths [1]. The company positions itself as fundamentally different from traditional pharma rather than competing to learn from peers. Public communications emphasize the Vant model's superiority — 'the first great technology company in biotech' — rather than what Roivant can learn from Roche, AbbVie, or other autoimmune competitors. This confidence is strategically rational but represents finite competitive framing in Sinek's lens.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Vant model itself demonstrates flexibility — Roivant creates, develops, and divests entities as the cause demands. The sale of Telavant to Roche for $7.1B, the Dermavant divestiture, and the spinout of Datavant show willingness to evolve the portfolio rather than cling to assets [1][2]. The company was built from scratch as a new organizational model for biotech, rejecting the traditional pharma structure entirely. However, Roivant has not yet faced an existential challenge requiring a fundamental pivot from the Vant model itself, so this flexibility remains untested under genuine pressure.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Investing $681.8M/year in R&amp;D while pre-revenue, executing the $450M Silicon Therapeutics acquisition, and pursuing the brepocitinib launch through years of clinical development demonstrate willingness to invest in long-term capability over short-term results [2][3]. The $209M in share buybacks while still unprofitable shows capital allocation confidence. However, with $4.7B in cash, these decisions are enabled by abundance rather than tested by adversity — the company's financial cushion reduces the real risk of each bold decision, making it difficult to assess whether the courage is cultural or circumstantial.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Roivant Sciences at $36.30 with $26.2B market cap is approaching a transformational inflection point — brepocitinib is expected to launch for dermatomyositis by end of September 2026, which would be the company's first approved commercial product and validate the Vant model's decade-long thesis [2]. The Phase 3 achieved statistical significance on all 10 endpoints with an addressable market of 40,000-70,000 U.S. patients. Behind brepocitinib, IMVT-1402 is advancing through registrational studies across Graves' disease, myasthenia gravis, CIDP, and Sjögren's (data 2027-2028), representing a multi-billion-dollar autoimmune franchise opportunity [2]. The $4.7B cash position ($3.84B plus $950M Moderna settlement) against only $107M in debt provides a fortress balance sheet that funds years of pipeline development without dilution risk, while the company simultaneously repurchases shares ($209M latest quarter) [2][4]. The AI-powered drug discovery platform (QUAISAR, Silicon Therapeutics, Psivant) positions Roivant at the intersection of computational biology and clinical development. Consensus analyst rating is Strong Buy with $41.82 target (15% upside).</w:t>
      </w:r>
    </w:p>
    <w:p>
      <w:pPr>
        <w:spacing w:after="120"/>
      </w:pPr>
      <w:r>
        <w:rPr>
          <w:rFonts w:ascii="Calibri" w:hAnsi="Calibri"/>
          <w:b w:val="0"/>
          <w:color w:val="3A4A28"/>
          <w:sz w:val="20"/>
        </w:rPr>
        <w:t>The bear case centers on the fundamental pre-commercial risk profile embedded in a $26.2B valuation. TTM revenue of $7.53M and EPS of -$0.49 reflect a company whose entire value rests on pipeline optionality — if brepocitinib's launch disappoints commercially or IMVT-1402 fails in registrational trials, the market cap has limited financial floor [4]. The Infrastructure score of 2/10 reflects the mechanical reality that pre-commercial biotechs score poorly on financial metrics regardless of balance sheet strength. R&amp;D burn of $202M per quarter ($808M/year annualized) is accelerating as multiple programs advance through expensive late-stage trials, and operating cash flow was -$816M TTM [4]. CEO Gline's $46.2M in share sales (2M+ shares in 6 months) signals individual risk management despite retaining 16.7M shares [6]. Revenue declined -67.58% YoY due to divestitures (Telavant, Dermavant), leaving the company dependent on milestone payments until brepocitinib commercializes. The Vant model's decentralized structure adds execution complexity at the commercialization stage, and no Vant has yet launched and marketed an approved drug. Competitive risk from Roche, AbbVie, and other autoimmune-focused pharma could limit brepocitinib's market penetration.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Brepocitinib commercial launch for dermatomyositis expected by end of September 2026 — first approved product would validate the Vant model, generate initial commercial revenue, and could de-risk the platform's broader pipeline across uveitis, cutaneous sarcoidosis, and lichen planopilaris [2]</w:t>
      </w:r>
    </w:p>
    <w:p>
      <w:pPr>
        <w:spacing w:before="40" w:after="40"/>
        <w:ind w:left="283"/>
      </w:pPr>
      <w:r>
        <w:rPr>
          <w:rFonts w:ascii="Calibri" w:hAnsi="Calibri"/>
          <w:b/>
          <w:color w:val="4A6B25"/>
          <w:sz w:val="20"/>
        </w:rPr>
        <w:t xml:space="preserve">2. </w:t>
      </w:r>
      <w:r>
        <w:rPr>
          <w:rFonts w:ascii="Calibri" w:hAnsi="Calibri"/>
          <w:b w:val="0"/>
          <w:color w:val="3A4A28"/>
          <w:sz w:val="20"/>
        </w:rPr>
        <w:t>IMVT-1402 registrational data readouts in Graves' disease and myasthenia gravis (2027-2028) could unlock a multi-billion-dollar autoimmune franchise — the FcRn antibody mechanism targets a large and growing market with significant unmet need across multiple indications [2]</w:t>
      </w:r>
    </w:p>
    <w:p>
      <w:pPr>
        <w:spacing w:before="40" w:after="40"/>
        <w:ind w:left="283"/>
      </w:pPr>
      <w:r>
        <w:rPr>
          <w:rFonts w:ascii="Calibri" w:hAnsi="Calibri"/>
          <w:b/>
          <w:color w:val="4A6B25"/>
          <w:sz w:val="20"/>
        </w:rPr>
        <w:t xml:space="preserve">3. </w:t>
      </w:r>
      <w:r>
        <w:rPr>
          <w:rFonts w:ascii="Calibri" w:hAnsi="Calibri"/>
          <w:b w:val="0"/>
          <w:color w:val="3A4A28"/>
          <w:sz w:val="20"/>
        </w:rPr>
        <w:t>Moderna settlement providing $950M upfront (received July 2026) with $1.3B contingent payment upon favorable appellate ruling — total $2.25B potential value from lipid nanoparticle IP validates Roivant's technology platform value beyond therapeutics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Pre-commercial biotech with $7.53M TTM revenue and -$0.49 EPS faces the fundamental risk that commercial launch disappoints or late-stage pipeline fails — if brepocitinib does not gain market traction or IMVT-1402 misses registrational endpoints, the $26.2B market cap has limited financial support [2][4]</w:t>
      </w:r>
    </w:p>
    <w:p>
      <w:pPr>
        <w:spacing w:before="40" w:after="40"/>
        <w:ind w:left="283"/>
      </w:pPr>
      <w:r>
        <w:rPr>
          <w:rFonts w:ascii="Calibri" w:hAnsi="Calibri"/>
          <w:b/>
          <w:color w:val="4A6B25"/>
          <w:sz w:val="20"/>
        </w:rPr>
        <w:t xml:space="preserve">2. </w:t>
      </w:r>
      <w:r>
        <w:rPr>
          <w:rFonts w:ascii="Calibri" w:hAnsi="Calibri"/>
          <w:b w:val="0"/>
          <w:color w:val="3A4A28"/>
          <w:sz w:val="20"/>
        </w:rPr>
        <w:t>R&amp;D burn of $202M per quarter ($808M/year) with operating cash outflow of -$816M TTM is consuming the cash fortress at an accelerating rate — even with $4.7B in cash, multiple late-stage failures would erode runway and force difficult capital allocation decisions [4]</w:t>
      </w:r>
    </w:p>
    <w:p>
      <w:pPr>
        <w:spacing w:before="40" w:after="40"/>
        <w:ind w:left="283"/>
      </w:pPr>
      <w:r>
        <w:rPr>
          <w:rFonts w:ascii="Calibri" w:hAnsi="Calibri"/>
          <w:b/>
          <w:color w:val="4A6B25"/>
          <w:sz w:val="20"/>
        </w:rPr>
        <w:t xml:space="preserve">3. </w:t>
      </w:r>
      <w:r>
        <w:rPr>
          <w:rFonts w:ascii="Calibri" w:hAnsi="Calibri"/>
          <w:b w:val="0"/>
          <w:color w:val="3A4A28"/>
          <w:sz w:val="20"/>
        </w:rPr>
        <w:t>CEO Gline's $46.2M in share sales across 4 transactions in 6 months, alongside 71 total insider sales and 0 purchases company-wide, signals insider risk management at elevated valuation levels — the stock has tripled (+210%) over the past year, and insiders are systematically reducing exposure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Biotech drug development is structurally protected from AI disruption — clinical trials require human patients, FDA regulatory approval involves years of safety and efficacy data, physical drug manufacturing cannot be replaced by software, and physician-patient relationships govern prescribing decisions [4]. AI accelerates Roivant's drug discovery process rather than threatening it. The QUAISAR AI/ML platform, Silicon Therapeutics computational chemistry, and Lokavant clinical trial analytics position AI as a core enabler embedded throughout the development lifecycle [1][3]. No analyst has flagged AI displacement as a risk for Roivant. Brepocitinib's path through clinical trials to FDA approval demonstrates that the regulatory moat remains impervious to AI shortcuts. The only vulnerability is that competitors could develop superior AI drug discovery platforms, but Roivant's early investment provides a meaningful head start. AI Opportunity (1/1): Roivant generates quantifiable value from AI across its operations. QUAISAR predicts biomolecular interactions and optimizes trial design. The $450M Silicon Therapeutics acquisition specifically targeted AI-designed drug discovery [3]. Psivant Therapeutics advances AI-designed drugs into clinical development. Lokavant provides predictive analytics for clinical operations. This represents one of the most comprehensive AI deployments in clinical-stage biotech, with AI embedded from discovery through trial execution.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Roivant Sciences Corporate Overview — Vant Model, QUAISAR AI/ML Platform, Silicon Therapeutics, Psivant, Lokavant, Roivant Social Ventures Global Access Scorecard — roivant.com, 2026</w:t>
      </w:r>
    </w:p>
    <w:p>
      <w:pPr>
        <w:spacing w:before="20" w:after="20"/>
        <w:ind w:left="170"/>
      </w:pPr>
      <w:r>
        <w:rPr>
          <w:rFonts w:ascii="Calibri" w:hAnsi="Calibri"/>
          <w:b/>
          <w:color w:val="4A6B25"/>
          <w:sz w:val="15"/>
        </w:rPr>
        <w:t xml:space="preserve">2. </w:t>
      </w:r>
      <w:r>
        <w:rPr>
          <w:rFonts w:ascii="Calibri" w:hAnsi="Calibri"/>
          <w:b w:val="0"/>
          <w:color w:val="3A4A28"/>
          <w:sz w:val="17"/>
        </w:rPr>
        <w:t>Roivant Q1 FY2027 (June 30, 2026) Earnings and Business Update — Brepocitinib DM Launch by Sept 2026, $950M Moderna Payment, IMVT-1402 Registrational Studies, Mosliciguat Phase 2, R&amp;D $202M, $209M Buybacks, Investor Relations/Investing.com, August 2026</w:t>
      </w:r>
    </w:p>
    <w:p>
      <w:pPr>
        <w:spacing w:before="20" w:after="20"/>
        <w:ind w:left="170"/>
      </w:pPr>
      <w:r>
        <w:rPr>
          <w:rFonts w:ascii="Calibri" w:hAnsi="Calibri"/>
          <w:b/>
          <w:color w:val="4A6B25"/>
          <w:sz w:val="15"/>
        </w:rPr>
        <w:t xml:space="preserve">3. </w:t>
      </w:r>
      <w:r>
        <w:rPr>
          <w:rFonts w:ascii="Calibri" w:hAnsi="Calibri"/>
          <w:b w:val="0"/>
          <w:color w:val="3A4A28"/>
          <w:sz w:val="17"/>
        </w:rPr>
        <w:t>Roivant Pipeline and AI Drug Discovery — Silicon Therapeutics $450M Acquisition, Psivant AI-Designed Drugs, Brepocitinib Phase 3 All 10 Endpoints, IMVT-1402 Multi-Indication — BioSpace/Fierce Biotech, 2021-2026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ROIV Key Statistics: Price $36.30, Market Cap $26.22B, Cash $3.84B, Debt $107M, D/E 2%, ROE -8.52%, TTM Revenue $7.53M, OCF -$816M, Avg Volume 5.72M, Beta 1.13, +210% 52-Week,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Roivant Social Ventures — Global Access Scorecard, Clinical Trial Diversity, Health Equity Programs — roivantsv.org, 2025-2026</w:t>
      </w:r>
    </w:p>
    <w:p>
      <w:pPr>
        <w:spacing w:before="20" w:after="20"/>
        <w:ind w:left="170"/>
      </w:pPr>
      <w:r>
        <w:rPr>
          <w:rFonts w:ascii="Calibri" w:hAnsi="Calibri"/>
          <w:b/>
          <w:color w:val="4A6B25"/>
          <w:sz w:val="15"/>
        </w:rPr>
        <w:t xml:space="preserve">6. </w:t>
      </w:r>
      <w:r>
        <w:rPr>
          <w:rFonts w:ascii="Calibri" w:hAnsi="Calibri"/>
          <w:b w:val="0"/>
          <w:color w:val="3A4A28"/>
          <w:sz w:val="17"/>
        </w:rPr>
        <w:t>ROIV Insider Trading — CEO Matt Gline: 4 Sales Totaling 2,029,774 Shares for $46.2M, 71 Total Insider Sales / 0 Purchases in 6 Months, Gline Retains 16.7M Shares — GuruFocus/TipRanks/StockTitan,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