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RPM</w:t>
      </w:r>
      <w:r>
        <w:rPr>
          <w:rFonts w:ascii="Calibri" w:hAnsi="Calibri"/>
          <w:b/>
          <w:color w:val="1A2010"/>
          <w:sz w:val="40"/>
        </w:rPr>
        <w:t xml:space="preserve">  RPM International Inc.</w:t>
      </w:r>
    </w:p>
    <w:p>
      <w:pPr>
        <w:spacing w:after="120"/>
      </w:pPr>
      <w:r>
        <w:rPr>
          <w:rFonts w:ascii="Calibri" w:hAnsi="Calibri"/>
          <w:b/>
          <w:color w:val="6E8450"/>
          <w:sz w:val="18"/>
        </w:rPr>
        <w:t>DIVIDEND SLEEVE · 2026-08-08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Coatings &amp; Sealants · NYSE · United States</w:t>
      </w:r>
    </w:p>
    <w:p>
      <w:pPr>
        <w:spacing w:after="80"/>
      </w:pPr>
      <w:r>
        <w:rPr>
          <w:rFonts w:ascii="Calibri" w:hAnsi="Calibri"/>
          <w:b w:val="0"/>
          <w:color w:val="3A4A28"/>
          <w:sz w:val="20"/>
        </w:rPr>
        <w:t>RPM International is a multinational holding company that manufactures and sells specialty coatings, sealants, building materials, and related products worldwide. Key brands include Rust-Oleum (consumer coatings), DAP (sealants/adhesives), Tremco (roofing/waterproofing), Carboline (corrosion coatings), and Stonhard (industrial flooring). Operates four segments: Construction Products, Performance Coatings, Consumer, and Specialty Products. FY2026 revenue of $7.86B.</w:t>
      </w:r>
    </w:p>
    <w:p>
      <w:r>
        <w:rPr>
          <w:rFonts w:ascii="Calibri" w:hAnsi="Calibri"/>
          <w:b/>
          <w:color w:val="6E8450"/>
          <w:sz w:val="18"/>
        </w:rPr>
        <w:t>17,546 Employees · https://www.rpminc.com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RPM has grown from $5.8B to $7.86B in revenue over five years through a combination of acquisitions and organic product development. The company completed its MAP (Margin Achievement Plan) operational transformation, restructuring operations to improve efficiency, and inaugurated a 60,000 sq ft Innovation Center of Excellence in Greensboro, NC in January 2024 to accelerate product development across its sealant brands [1][2]. These represent meaningful operational and R&amp;D capability upgrades. AI Deployment (0/2): No evidence of AI-powered products or quantified AI-driven operational savings. RPM remains a traditional specialty chemicals manufacturer [2]. Market Share (1/2): RPM is a meaningful player across multiple specialty niches — Rust-Oleum is the #1 consumer rust-prevention brand, Tremco leads in roofing/waterproofing, and RPM ranks #6 globally in coatings [1][2]. However, the company doesn't dominate any single category the way Sherwin-Williams dominates architectural paint. Product Pipeline (1/2): R&amp;D spending of $97.9M in FY2026 supports new coatings, construction systems, and consumer products through the Innovation Center, but no specific named next-generation products with launch dates were disclosed [1]. R&amp;D Intensity (0/1): R&amp;D of $97.9M on $7.86B revenue represents just 1.2% intensity, below the 2-4% industry average for specialty chemicals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RPM positions itself as a 'World Leader in Specialty Coatings' focused on protecting and improving surfaces, structures, and infrastructure [3]. The purpose is clear — RPM makes products that protect buildings, infrastructure, and homes — but it doesn't articulate a deeper vision or inspire beyond the practical. The company's primary identity centers on its 52-year dividend growth streak and shareholder value creation, which is admirable but not a mission that invites sacrifice or advances a future state. Community Impact (0/2): RPM's ESG report mentions 'philanthropic and community involvement' and 'commitment to diversity and inclusion,' but no specific charitable programs, dollar amounts, or distinctive community investments were identified in research [4]. Employee Retention (0/2): Glassdoor rating of 3.6/5 with 66% recommending to a friend — average for the industry. No specific tenure or turnover data available [2]. Insider Buying (0/2): No evidence of meaningful net insider buying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RPM delivered record FY2026 results with $7.86B revenue (6.7% YoY growth), record adjusted EBIT of $1.02B, and adjusted EPS of $5.53 (4.3% growth) [1]. D/E of 89% is manageable against $294M cash and $899M operating cash flow. ROE of 22.9% demonstrates strong capital efficiency for a specialty chemicals business. Forward P/E of 17.76 sits comfortably below the 20 target. The 52-year consecutive dividend growth record is extraordinary — payout ratio of 41.8% is near the 40% target, and the most recent increase of 5.9% signals ongoing commitment [5]. Profit margin of 8.63% is the primary drag, reflecting the capital-intensive nature of specialty chemicals manufacturing and margin compression from 9.3% the prior year [1]. Revenue growth of 6.7% YoY and ~6.3% 5yr CAGR fall short of the 10% target but represent steady industrial compounding.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RPM under the Sullivan family (Thomas Sullivan founded the dividend growth strategy in 1973; Frank Sullivan has served as CEO since 2002) demonstrates a genuinely long-term orientation built around stakeholder commitment — 52 consecutive years of dividend increases is a rare feat achieved by fewer than 40 other US companies. The decentralized holding company model empowers subsidiary leaders. However, the company lacks a Just Cause beyond financial performance and operational excellence, and the acquisition-driven growth model is more strategic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RPM's purpose centers on being a 'world leader in specialty coatings' and delivering shareholder value through its 52-year dividend growth streak [3][5]. While the commitment to stakeholders is genuine and the products serve a practical purpose (protecting infrastructure), there is no articulated vision of a future state that invites sacrifice or extends beyond the company's commercial interests. Sinek would view RPM as playing a well-disciplined finite game — optimizing for consistent financial performance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RPM's decentralized holding company structure inherently empowers subsidiary leaders — brand CEOs at Rust-Oleum, Tremco, DAP, and other subsidiaries operate with significant autonomy to run their businesses [2][3]. The Sullivan family leadership continuity (Thomas to Frank Sullivan) creates organizational stability. Glassdoor rating of 3.6/5 with 66% recommendation rate is average — employees cite 'good company to work for' but note concerns about work-life balance and career advancement opportunities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RPM's competitive positioning focuses on serving specific niches rather than attempting to out-scale larger rivals like Sherwin-Williams or PPG Industries [1]. The company's language emphasizes product innovation, specialty expertise, and market leadership within defined categories rather than 'beating' competitors. The decentralized model allows each subsidiary to focus on its own competitive dynamics and improvement rather than parent-level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RPM has expanded from a single-product company to a diversified specialty chemicals conglomerate through 70+ acquisitions across coatings, sealants, waterproofing, and building materials over decades [1][3]. This represents meaningful strategic evolution and market diversification. However, the fundamental business model — acquire specialty brands, improve operations, sell physical products through distribution channels — has remained constant. The company has adapted its market scope but not transformed its operating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Frank Sullivan's 23+ year CEO tenure provides exceptional stability, and the MAP (Margin Achievement Plan) initiative demonstrated willingness to restructure operations for long-term efficiency even when it required significant organizational change [1]. RPM has maintained its dividend growth commitment through multiple recessions (2008-2009, 2020), choosing long-term shareholder trust over short-term cash preservation. However, the acquisition-driven growth model — while consistent — doesn't represent the kind of bold, risky bets that Sinek associates with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RPM International delivered record FY2026 results with $7.86B revenue (6.7% growth), record adjusted EBIT of $1.02B, and operating cash flow of $899M, demonstrating the durability of its diversified specialty chemicals portfolio [1]. The company's 52-year consecutive dividend increase record — shared by fewer than 40 other US public companies — signals exceptional capital discipline and shareholder commitment [5]. At a forward P/E of 17.76 with 22.9% ROE and manageable 89% D/E, RPM offers attractive valuation for a high-quality industrial compounder. The MAP operational transformation has structurally improved margins, and FY2027 guidance of 3-7% revenue growth with 5-10% EBITDA growth suggests ongoing operational leverage.</w:t>
      </w:r>
    </w:p>
    <w:p>
      <w:pPr>
        <w:spacing w:after="120"/>
      </w:pPr>
      <w:r>
        <w:rPr>
          <w:rFonts w:ascii="Calibri" w:hAnsi="Calibri"/>
          <w:b w:val="0"/>
          <w:color w:val="3A4A28"/>
          <w:sz w:val="20"/>
        </w:rPr>
        <w:t>The bear case centers on RPM's structural limitations as a low-growth industrial compounder. Revenue growth of 6.7% YoY and ~6.3% 5yr CAGR consistently trails high-growth industrials, and the acquisition-driven model requires ongoing M&amp;A to sustain growth as organic expansion in mature coatings markets is inherently limited [1]. Net profit margin of 8.63% declined from 9.3% year-over-year, and the company carries $2.9B in debt against $294M cash — a net debt position of $2.6B that constrains financial flexibility [3]. The decentralized holding company model creates management complexity across 17,500+ employees in four segments. R&amp;D intensity of just 1.2% of revenue falls below the specialty chemicals industry average, raising questions about long-term competitive positioning if innovation-driven competitors invest more aggressively in next-generation coatings and sustainable formulations.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MAP 2.0 operational improvements driving margin expansion toward FY2027 guidance of 5-10% adjusted EBITDA growth on 3-7% revenue growth</w:t>
      </w:r>
    </w:p>
    <w:p>
      <w:pPr>
        <w:spacing w:before="40" w:after="40"/>
        <w:ind w:left="283"/>
      </w:pPr>
      <w:r>
        <w:rPr>
          <w:rFonts w:ascii="Calibri" w:hAnsi="Calibri"/>
          <w:b/>
          <w:color w:val="4A6B25"/>
          <w:sz w:val="20"/>
        </w:rPr>
        <w:t xml:space="preserve">2. </w:t>
      </w:r>
      <w:r>
        <w:rPr>
          <w:rFonts w:ascii="Calibri" w:hAnsi="Calibri"/>
          <w:b w:val="0"/>
          <w:color w:val="3A4A28"/>
          <w:sz w:val="20"/>
        </w:rPr>
        <w:t>Innovation Center of Excellence accelerating product development across brands, particularly in sustainable and high-performance coatings for construction and infrastructure markets</w:t>
      </w:r>
    </w:p>
    <w:p>
      <w:pPr>
        <w:spacing w:before="40" w:after="40"/>
        <w:ind w:left="283"/>
      </w:pPr>
      <w:r>
        <w:rPr>
          <w:rFonts w:ascii="Calibri" w:hAnsi="Calibri"/>
          <w:b/>
          <w:color w:val="4A6B25"/>
          <w:sz w:val="20"/>
        </w:rPr>
        <w:t xml:space="preserve">3. </w:t>
      </w:r>
      <w:r>
        <w:rPr>
          <w:rFonts w:ascii="Calibri" w:hAnsi="Calibri"/>
          <w:b w:val="0"/>
          <w:color w:val="3A4A28"/>
          <w:sz w:val="20"/>
        </w:rPr>
        <w:t>Continued bolt-on acquisition strategy leveraging RPM's decentralized platform to consolidate fragmented specialty coatings niches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compression risk as profit margin declined from 9.3% to 8.63% YoY, with raw material cost inflation in petrochemical-derived coatings ingredients threatening further deterioration</w:t>
      </w:r>
    </w:p>
    <w:p>
      <w:pPr>
        <w:spacing w:before="40" w:after="40"/>
        <w:ind w:left="283"/>
      </w:pPr>
      <w:r>
        <w:rPr>
          <w:rFonts w:ascii="Calibri" w:hAnsi="Calibri"/>
          <w:b/>
          <w:color w:val="4A6B25"/>
          <w:sz w:val="20"/>
        </w:rPr>
        <w:t xml:space="preserve">2. </w:t>
      </w:r>
      <w:r>
        <w:rPr>
          <w:rFonts w:ascii="Calibri" w:hAnsi="Calibri"/>
          <w:b w:val="0"/>
          <w:color w:val="3A4A28"/>
          <w:sz w:val="20"/>
        </w:rPr>
        <w:t>Construction cycle sensitivity across Tremco roofing and waterproofing products exposes significant revenue to commercial and residential building activity fluctuations</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with $2.9B in debt and a model dependent on continued M&amp;A — any mispriced acquisition or integration failure could strain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RPM's core business — manufacturing and selling physical specialty coatings, sealants, waterproofing systems, and building materials — is structurally immune to AI disruption [1][2]. Chemical formulation, physical manufacturing, and construction material installation require capabilities that AI cannot replicate or substitute. RPM's products (Rust-Oleum paint, DAP caulk, Tremco roofing) solve physical-world problems that will exist regardless of AI advancement. The construction and maintenance end markets may actually benefit from AI-driven infrastructure monitoring that identifies coating/repair needs. No analysts have flagged AI as a risk factor for RPM. AI Opportunity (0/1): No evidence of AI-generated revenue. RPM has not disclosed AI-powered products, digital offerings, or meaningful AI-driven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RPM International Q4 FY2026 Earnings Release and Full-Year Record Results — SEC 8-K Filing,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RPM International Leadership, Innovation Center, Glassdoor Reviews — Coatings World, TheOrg,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RPM International Corporate Overview and Financial Statistics — StockAnalysis.com, Yahoo Finance,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RPM International ESG Report and Sustainability Practices — BusinessWire, CSRHub, 2020-2026</w:t>
      </w:r>
    </w:p>
    <w:p>
      <w:pPr>
        <w:spacing w:before="20" w:after="20"/>
        <w:ind w:left="170"/>
      </w:pPr>
      <w:r>
        <w:rPr>
          <w:rFonts w:ascii="Calibri" w:hAnsi="Calibri"/>
          <w:b/>
          <w:color w:val="4A6B25"/>
          <w:sz w:val="15"/>
        </w:rPr>
        <w:t xml:space="preserve">5. </w:t>
      </w:r>
      <w:r>
        <w:rPr>
          <w:rFonts w:ascii="Calibri" w:hAnsi="Calibri"/>
          <w:b w:val="0"/>
          <w:color w:val="3A4A28"/>
          <w:sz w:val="17"/>
        </w:rPr>
        <w:t>RPM International Dividend History — Insider Monkey, RPMInc.com, 52 Consecutive Years of Increases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