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SLB</w:t>
      </w:r>
      <w:r>
        <w:rPr>
          <w:rFonts w:ascii="Calibri" w:hAnsi="Calibri"/>
          <w:b/>
          <w:color w:val="1A2010"/>
          <w:sz w:val="40"/>
        </w:rPr>
        <w:t xml:space="preserve">  SLB N.V.</w:t>
      </w:r>
    </w:p>
    <w:p>
      <w:pPr>
        <w:spacing w:after="120"/>
      </w:pPr>
      <w:r>
        <w:rPr>
          <w:rFonts w:ascii="Calibri" w:hAnsi="Calibri"/>
          <w:b/>
          <w:color w:val="6E8450"/>
          <w:sz w:val="18"/>
        </w:rPr>
        <w:t>DIVIDEND SLEEVE · 2026-08-13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SLB N.V. (formerly Schlumberger Limited) is the world's largest oilfield services company, operating through four divisions: Digital &amp; Integration, Reservoir Performance, Well Construction, and Production Systems. The company provides technology-driven solutions across the energy lifecycle including drilling, completion, production, carbon management, data center cooling/power solutions, and digital platforms. Founded in 1926, headquartered in Houston, Texas, with 109,000 employees in 100+ countries. Q2 2026 revenue reached $8.97B with Data Center Solutions surging 80% YoY.</w:t>
      </w:r>
    </w:p>
    <w:p>
      <w:r>
        <w:rPr>
          <w:rFonts w:ascii="Calibri" w:hAnsi="Calibri"/>
          <w:b/>
          <w:color w:val="6E8450"/>
          <w:sz w:val="18"/>
        </w:rPr>
        <w:t>109,000 Employees · https://www.slb.com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SLB completed the $7.8B ChampionX acquisition adding production chemicals and artificial lift, rebranded from Schlumberger to SLB N.V. in October 2025 to signal its evolution from oilfield services to energy technology, and launched Data Center Solutions leveraging industrial cooling and power management expertise for AI infrastructure [1][2]. Multiple significant strategic moves in a 2-year window represent a company actively reshaping its identity. AI Deployment (2/2): SLB's DELFI cloud platform and Lumi AI engine deploy AI for autonomous drilling guidance, real-time subsurface interpretation, and reservoir optimization — these are commercial AI products generating revenue through the Digital &amp; Integration division (~$4B annual revenue) [2]. CEO Le Peuch describes AI as transforming how E&amp;P companies operate, with measurable efficiency gains for customers. Market Share (1/2): SLB is the undisputed global leader in oilfield services at $36.37B TTM revenue, maintaining category dominance across wireline, drilling fluids, and subsea systems through OneSubsea [1]. However, organic growth has faced pressure from Middle East disruptions. Product Pipeline (2/2): Data Center Solutions revenue surged 33% sequentially and approximately 80% YoY in Q2 2026, with management targeting an annualized revenue run rate above $2B by 2027 [1]. This represents a specific next-gen business with clear revenue visibility. SLB Capturi carbon capture technology provides additional pipeline optionality. R&amp;D Intensity (1/1): SLB's R&amp;D spending is at the top of the oilfield services sector, supporting four-division technology development, DELFI/Lumi AI platforms, and data center solutions engineering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SLB's purpose of 'driving energy innovation for a balanced planet' is specific and thoughtful, reflecting genuine intentionality about the company's role in the energy transition beyond traditional oilfield services [2]. CEO Le Peuch consistently references this purpose in strategic decisions including carbon capture expansion, Data Center Solutions entry, and the October 2025 rebranding. The purpose differentiates from peers and shapes actual business decisions, but has not been validated through decades of consistent execution. Community Impact (1/2): SLB's 'Global Stewardship' approach addresses environmental, social, and community factors across its 100+ country footprint, with MSCI ESG rating of AA (industry leader) and Sustainalytics risk score of 20 [3]. However, specific charitable giving dollar amounts and program impact metrics are not prominently disclosed. Employee Retention (1/2): SLB maintains 109,000 employees globally with CEO Le Peuch providing 7+ years of stable leadership since August 2019 [2]. The 'Living Our Culture' program and decentralized structure suggest organizational investment in team empowerment, though the cyclical industry creates periodic workforce adjustments. No specific tenure or turnover data available. Insider Buying (0/2): No evidence of significant net insider buying by executives in the last 12 months. Insider ownership at approximately 0.2% is minimal for a $77B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of 47% is well below the 70% target ($12.8B debt offset by $4.1B cash) [4]. ROE of 12.91% approaches but falls short of the 15% target. Forward P/E of 18.47 is under the 20 target. Revenue growth of 5% YoY (Q2 2026 at $8.97B, beating estimates by $215M) is below the 10% target but improving [1]. The 5-year revenue CAGR of approximately 9.7% (from $22.9B in 2021 to $36.4B TTM) nearly reaches target. Profit margin of 8.53% is below the 20% target but above oilfield services peers. Dividend profile is anchored by 50+ consecutive years of payments (reduced but never suspended in 2020), with 5-year dividend growth CAGR of approximately 18.7% from the post-2020 depressed base ($0.50/year to $1.18/year). Payout ratio of 57.22% is above the 40% target. Weighted sum 10.21 / max 12.0 = 8.51, rounds to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SLB under CEO Olivier Le Peuch demonstrates stronger infinite game characteristics than most oilfield services peers. The rebranding from Schlumberger to SLB, the 'driving energy innovation for a balanced planet' purpose, and the strategic expansion into carbon management, digital platforms, and Data Center Solutions signal a company thinking beyond the current oil cycle. Le Peuch has articulated a genuine vision of SLB as an energy technology company rather than just an oilfield services provider. However, the core business remains cyclical and vulnerable to the finite pressures of commodity pricing.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SLB's purpose of 'driving energy innovation for a balanced planet' is a genuine cause that connects the company's work to the energy transition and broader societal impact [2]. Le Peuch references this purpose in strategic decisions, and the October 2025 rebranding was explicitly positioned as reflecting the company's evolution. The expansion into carbon capture (SLB Capturi) and Data Center Solutions demonstrates purpose shaping business strategy. However, SLB has not yet been tested through a crisis where the Just Cause conflicted with near-term profitability — the energy transition investments are still being 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SLB maintains 109,000 employees across 100+ countries with a decentralized structure empowering local teams to respond to National Oil Company requirements [2]. The 'Living Our Culture' program and Le Peuch's 7-year leadership tenure provide organizational stability. However, the cyclical nature of oilfield services creates periodic workforce reductions that undermine psychological safety, and the sheer scale of operations makes uniform trust culture difficult to maintain.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SLB's competitive language under Le Peuch focuses on redefining the energy technology category rather than defeating Halliburton or Baker Hughes [2]. The company positions itself as building new markets (Data Center Solutions, carbon capture) rather than fighting for share in existing ones. Management commentary emphasizes learning from the broader technology ecosystem, including hyperscalers and AI companies, rather than framing competition as zero-sum.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SLB has demonstrated meaningful strategic evolution — expanding from pure oilfield services into digital energy platforms (DELFI, Lumi), carbon management (SLB Capturi), production chemicals (ChampionX), and now AI data center infrastructure (Data Center Solutions surging 80% YoY) [1][2]. These represent genuine adaptation to the energy transition. However, the core business remains fundamentally oil and gas services at ~$34B+ of $36.4B revenue — the new businesses are growing rapidly but still a single-digit percentage of total.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 Peuch's 'Returns-Focused Framework' demonstrates strategic discipline — divesting low-margin businesses, launching the $7.8B ChampionX acquisition for diversification, entering the Data Center Solutions market (a bold adjacency for an oilfield company), and rebranding the 100-year-old Schlumberger name [1][2]. These represent meaningful long-term positioning choices. However, these moves were made from a position of strength ($4.4B annual FCF) rather than true sacrifice, and the 2020 dividend cut (75% reduction from $2.00 to $0.50), while arguably necessary, prioritized capital preservation over stakeholder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SLB is the world's largest and most technologically diversified energy services company, with $36.4B TTM revenue, $4.4B free cash flow, and a strategic vision under CEO Le Peuch that is expanding the company's addressable market into AI infrastructure [1][2]. Q2 2026 delivered $8.97B revenue (beating estimates by $215M) and $0.55 EPS (beating by $0.04), with pretax operating margin expanding 138 bps to 15.5% and adjusted EBITDA margin back above 20% [1]. Data Center Solutions emerged as a standout growth engine, surging 80% YoY with a path to $2B+ annualized run rate by 2027 — leveraging SLB's industrial cooling and power management expertise for AI data centers. At 18.5x forward earnings, the stock offers reasonable valuation for a company diversifying from cyclical oilfield services into structural AI infrastructure demand. The 2.28% dividend yield with 50+ year payment history provides income stability.</w:t>
      </w:r>
    </w:p>
    <w:p>
      <w:pPr>
        <w:spacing w:after="120"/>
      </w:pPr>
      <w:r>
        <w:rPr>
          <w:rFonts w:ascii="Calibri" w:hAnsi="Calibri"/>
          <w:b w:val="0"/>
          <w:color w:val="3A4A28"/>
          <w:sz w:val="20"/>
        </w:rPr>
        <w:t>The bear case centers on cyclical exposure and margin compression. SLB's trailing P/E of 25.5x is elevated for an oilfield services company, and organic revenue growth (excluding ChampionX) has been pressured by Middle East disruptions and international project delays [1]. Profit margin of 8.53% remains well below the 20% target, constrained by the capital-intensive nature of physical services operations. The payout ratio of 57.22% is elevated for a cyclical business — the 2020 dividend cut from $2.00 to $0.50 (75% reduction) demonstrates that payouts are not recession-proof, and the dividend has not recovered to pre-cut levels despite 4 consecutive years of growth. With $12.8B in total debt, a prolonged downturn in global E&amp;P spending could pressure both the balance sheet and shareholder returns. Data Center Solutions, while exciting, is still less than 3% of total revenue and faces competition from established data center infrastructure providers.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Solutions revenue surging 80% YoY with path to $2B+ annualized run rate by 2027, transforming SLB from a pure oilfield services company into an AI infrastructure provider [1]</w:t>
      </w:r>
    </w:p>
    <w:p>
      <w:pPr>
        <w:spacing w:before="40" w:after="40"/>
        <w:ind w:left="283"/>
      </w:pPr>
      <w:r>
        <w:rPr>
          <w:rFonts w:ascii="Calibri" w:hAnsi="Calibri"/>
          <w:b/>
          <w:color w:val="4A6B25"/>
          <w:sz w:val="20"/>
        </w:rPr>
        <w:t xml:space="preserve">2. </w:t>
      </w:r>
      <w:r>
        <w:rPr>
          <w:rFonts w:ascii="Calibri" w:hAnsi="Calibri"/>
          <w:b w:val="0"/>
          <w:color w:val="3A4A28"/>
          <w:sz w:val="20"/>
        </w:rPr>
        <w:t>International E&amp;P spending recovery as Middle East disruptions ease and major NOC projects resume, unlocking pent-up demand across SLB's largest revenue region</w:t>
      </w:r>
    </w:p>
    <w:p>
      <w:pPr>
        <w:spacing w:before="40" w:after="40"/>
        <w:ind w:left="283"/>
      </w:pPr>
      <w:r>
        <w:rPr>
          <w:rFonts w:ascii="Calibri" w:hAnsi="Calibri"/>
          <w:b/>
          <w:color w:val="4A6B25"/>
          <w:sz w:val="20"/>
        </w:rPr>
        <w:t xml:space="preserve">3. </w:t>
      </w:r>
      <w:r>
        <w:rPr>
          <w:rFonts w:ascii="Calibri" w:hAnsi="Calibri"/>
          <w:b w:val="0"/>
          <w:color w:val="3A4A28"/>
          <w:sz w:val="20"/>
        </w:rPr>
        <w:t>ChampionX integration delivering targeted synergies while diversifying revenue toward recurring production chemical streams less sensitive to drilling cycle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oilfield services revenue has been pressured by Middle East disruptions and international softness — sustained activity weakness could compress earnings from the current $2.06 TTM EPS despite acquisition contributions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8.53% is structurally limited by the capital-intensive, physical nature of oilfield services — even with Data Center Solutions growth, the margin profile is unlikely to converge with technology peers</w:t>
      </w:r>
    </w:p>
    <w:p>
      <w:pPr>
        <w:spacing w:before="40" w:after="40"/>
        <w:ind w:left="283"/>
      </w:pPr>
      <w:r>
        <w:rPr>
          <w:rFonts w:ascii="Calibri" w:hAnsi="Calibri"/>
          <w:b/>
          <w:color w:val="4A6B25"/>
          <w:sz w:val="20"/>
        </w:rPr>
        <w:t xml:space="preserve">3. </w:t>
      </w:r>
      <w:r>
        <w:rPr>
          <w:rFonts w:ascii="Calibri" w:hAnsi="Calibri"/>
          <w:b w:val="0"/>
          <w:color w:val="3A4A28"/>
          <w:sz w:val="20"/>
        </w:rPr>
        <w:t>The 2020 dividend cut (75% from $2.00 to $0.50/year) demonstrated payout vulnerability in commodity downturns — the current 57.22% payout ratio and $12.8B debt load limit cushion if E&amp;P spending enters another downcycle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SLB's core business — physical oilfield services including drilling, completions, subsea production, and wireline operations — requires heavy equipment and specialized crews operating in extreme environments that AI cannot substitute [1][2]. AI enhances SLB's business: DELFI and Lumi improve drilling efficiency and reservoir characterization, while the new Data Center Solutions business (cooling and power management for AI infrastructure) means AI buildout directly increases SLB revenue. The Data Center Solutions segment surged 80% YoY in Q2 2026 with management targeting $2B+ annualized run rate by 2027, making SLB a direct beneficiary of AI infrastructure expansion [1]. Score 8 rather than 9 because AI-driven drilling efficiency could modestly reduce total service hours per well. AI Opportunity (1/1): SLB generates meaningful AI revenue through multiple channels: the Digital &amp; Integration division (~$4B annual revenue) includes DELFI/Lumi AI products sold to E&amp;P customers, and Data Center Solutions directly serves AI infrastructure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SLB Q2 2026 Earnings Release — Revenue $8.97B, EPS $0.55, Data Center Solutions Surge, Pretax Margin 15.5%, July 2026</w:t>
      </w:r>
    </w:p>
    <w:p>
      <w:pPr>
        <w:spacing w:before="20" w:after="20"/>
        <w:ind w:left="170"/>
      </w:pPr>
      <w:r>
        <w:rPr>
          <w:rFonts w:ascii="Calibri" w:hAnsi="Calibri"/>
          <w:b/>
          <w:color w:val="4A6B25"/>
          <w:sz w:val="15"/>
        </w:rPr>
        <w:t xml:space="preserve">2. </w:t>
      </w:r>
      <w:r>
        <w:rPr>
          <w:rFonts w:ascii="Calibri" w:hAnsi="Calibri"/>
          <w:b w:val="0"/>
          <w:color w:val="3A4A28"/>
          <w:sz w:val="17"/>
        </w:rPr>
        <w:t>SLB CEO Strategy, AI/Digital Innovation, and Data Center Solutions Pivot — AI Magazine, Wedbush, Oil &amp; Gas IQ, OGR Energy, 2025-2026</w:t>
      </w:r>
    </w:p>
    <w:p>
      <w:pPr>
        <w:spacing w:before="20" w:after="20"/>
        <w:ind w:left="170"/>
      </w:pPr>
      <w:r>
        <w:rPr>
          <w:rFonts w:ascii="Calibri" w:hAnsi="Calibri"/>
          <w:b/>
          <w:color w:val="4A6B25"/>
          <w:sz w:val="15"/>
        </w:rPr>
        <w:t xml:space="preserve">3. </w:t>
      </w:r>
      <w:r>
        <w:rPr>
          <w:rFonts w:ascii="Calibri" w:hAnsi="Calibri"/>
          <w:b w:val="0"/>
          <w:color w:val="3A4A28"/>
          <w:sz w:val="17"/>
        </w:rPr>
        <w:t>SLB ESG Profile — Sustainalytics (20 risk score), MSCI (AA), Yahoo Finance, KnowESG,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SLB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