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SSNC</w:t>
      </w:r>
      <w:r>
        <w:rPr>
          <w:rFonts w:ascii="Calibri" w:hAnsi="Calibri"/>
          <w:b/>
          <w:color w:val="1A2010"/>
          <w:sz w:val="40"/>
        </w:rPr>
        <w:t xml:space="preserve">  SS&amp;C Technologies Holdings, Inc.</w:t>
      </w:r>
    </w:p>
    <w:p>
      <w:pPr>
        <w:spacing w:after="120"/>
      </w:pPr>
      <w:r>
        <w:rPr>
          <w:rFonts w:ascii="Calibri" w:hAnsi="Calibri"/>
          <w:b/>
          <w:color w:val="6E8450"/>
          <w:sz w:val="18"/>
        </w:rPr>
        <w:t>DIVIDEND SLEEVE · 2026-08-29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SS&amp;C Technologies provides software products and software-enabled services to the financial services and healthcare industries. The company offers fund administration, transfer agency, portfolio management, trading, compliance, and banking solutions. SS&amp;C serves 18,000+ clients including alternative and traditional asset managers, insurance companies, banks, and healthcare organizations worldwide. Founded in 1986 by CEO Bill Stone, the company has completed 70+ acquisitions to build a comprehensive platform.</w:t>
      </w:r>
    </w:p>
    <w:p>
      <w:r>
        <w:rPr>
          <w:rFonts w:ascii="Calibri" w:hAnsi="Calibri"/>
          <w:b/>
          <w:color w:val="6E8450"/>
          <w:sz w:val="18"/>
        </w:rPr>
        <w:t>28,800 Employees · https://www.ssctech.com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SS&amp;C executed a transformative serial acquisition strategy including DST Systems ($5.4B), GlobeOp, Advent, Blue Prism, and Calastone, growing from a niche software provider to a $6.7B+ comprehensive financial technology platform with 97% client retention validating integration execution [1][2]. Q2 2026 delivered record revenue of $1,695.7M (up 10.3% YoY) with adjusted organic growth accelerating to 7.6% from 5.0% in Q1, demonstrating improving core momentum [2]. AI Deployment (2/2): SS&amp;C deployed its proprietary Link AI engine for automated document redaction, categorization, and PII identification across fund administration workflows, and has integrated agentic AI into transfer agency and compliance platforms using a 'customer zero' internal-testing approach before client deployment [3]. Market Share (1/2): SS&amp;C is a meaningful leader in fund administration software and transfer agency technology, processing trillions in assets across 18,000+ clients, though it competes with larger platforms like FIS and Broadridge [1]. Product Pipeline (1/2): Full-year 2026 guidance raised to $6.664-$6.824B with 5.3% organic growth target and 40% EBITDA margin goal by Q4 2026, with Kuro and Callistone acquisitions tracking ahead of expectations [2]. R&amp;D Intensity (1/1): R&amp;D spending exceeded $2.9B over the last four years (~12% of revenue), above average for financial services software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SS&amp;C's purpose — delivering technology solutions for financial services and healthcare efficiency — is clear and industry-specific but not transformative beyond operational excellence; it identifies what the company does without articulating a broader vision of a better future [3]. Community Impact (0/2): No evidence of distinctive charitable programs, corporate foundation, or community investment initiatives beyond standard ESG reporting commitments [6]. Employee Retention (1/2): Bill Stone's 40-year founder-CEO tenure provides exceptional leadership continuity, Rahul Kanwar's elevation to President signals succession depth, and 97% client retention suggests organizational stability, though Glassdoor reviews describe a culture that 'lacks inclusivity and transparency' with 'micromanagement and favoritism' [4]. Insider Buying (0/2): Net insider selling of $14M over the last 12 months; CEO Stone exercised options on 420K shares at $33.89 strike (option exercise, not open-market buying) while overall insider activity skews toward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financial metrics driven by an exceptionally low forward P/E and solid dividend history. Q2 2026 delivered record revenue of $1,695.7M (up 10.3% YoY) with adjusted organic growth accelerating to 7.6% and GAAP EPS of $0.97 (up 34.7%) [2]. Full-year 2026 guidance raised to $6.664-$6.824B. Forward P/E of 10.5 scores perfectly — remarkably low for a financial technology company generating $6.7B+ annually. D/E of 111% is elevated from serial acquisitions but manageable with strong recurring cash generation [1]. ROE of 11.8% falls below the 15% target, compressed by significant goodwill from the acquisition-heavy model. Revenue growth YoY of 10.3% meets the target. Revenue 5yr CAGR of approximately 6% trails the 10% target. Profit margin of 13.1% is below the 20% target but improving toward the 40% EBITDA margin goal by Q4 2026 [2]. Dividend metrics are favorable: payout ratio ~30%, 13 consecutive years of payments, 9 consecutive years of growth, and 5yr dividend growth CAGR of 10.0%. Liquidity floor cleared: ~2.4M avg volume x $74.41 = $176M daily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SS&amp;C under founder-CEO Bill Stone has demonstrated remarkable 40-year commitment to building a financial technology platform, but the company's competitive posture is quintessentially finite — growth through serial acquisitions to consolidate market share, emphasis on market dominance, and internal culture issues flagged by employees. The company exists to build a larger software empire rather than to advance a cause that transcends the business. Sinek would note the absence of a Just Cause and the finite competitive language [3][4].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SS&amp;C's purpose — technology solutions for financial services efficiency — is genuine and has been consistently pursued for 40 years under founder Bill Stone, who started with $20,000 from his basement [3]. However, this is operational excellence, not a Just Cause in Sinek's sense. The mission doesn't describe a future state worth sacrificing for — it describes a market position. Leadership references growth, acquisitions, and EBITDA margins in strategic discussions,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concerning picture of SS&amp;C's internal culture — employees describe 'senior leadership that tends to micromanage and show favoritism' creating 'an unfair and demotivating environment' where 'talented and dedicated employees often do not get the recognition or opportunities they deserve' [4]. Promotions appear biased rather than merit-based, and the culture 'lacks inclusivity and transparency.' This is inconsistent with Sinek's Circle of Safety — employees appear to spend energy protecting themselves from internal politics rather than advancing the organization's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SS&amp;C's competitive posture is finite — CEO Stone emphasizes the company's 'deep and wide moat' and market dominance, and the serial acquisition strategy is explicitly about capturing market share and eliminating competition rather than learning from rivals [3]. No evidence of management acknowledging competitors' strengths as motivation for self-improvement in earnings commentary. The competitive language centers on scale, coverage, and winning, not on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SS&amp;C has evolved incrementally through acquisitions — from niche portfolio accounting software to comprehensive financial services platform, from on-premise licenses to cloud/SaaS delivery, and from pure software to technology-enabled services [1]. The Blue Prism RPA acquisition and current AI pivot represent meaningful business model evolution. However, these changes have been incremental rather than transformative — SS&amp;C has stayed within financial services technology throughout, and the evolution was acquisition-driven rather than a courageous reimagining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Bill Stone demonstrated courage in taking on $5.4B in debt for the transformative DST Systems acquisition and investing $2.9B+ in R&amp;D over four years during uncertain market conditions [1]. The 'customer zero' approach to AI — testing internally before client deployment — shows willingness to invest ahead of revenue. However, these bets are growth-driven rather than purpose-driven, and the $1.5B share repurchase authorization prioritizes financial returns over long-term capability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SS&amp;C Technologies delivered record Q2 2026 results with $1,695.7M revenue (up 10.3% YoY) and adjusted organic growth accelerating to 7.6% from 5.0% in Q1, demonstrating improving core momentum [2]. The company raised full-year 2026 guidance to $6.664-$6.824B and targets a 40% EBITDA margin by Q4 2026, reflecting operational discipline alongside growth investment. At a forward P/E of 10.5 on adjusted EPS guidance of $6.93-$7.25, the stock trades at a significant discount to financial technology peers, offering value if the organic growth acceleration proves sustainable [7]. The 97% client retention rate and deep integration into mission-critical fund administration, transfer agency, and compliance workflows create high switching costs across 18,000+ clients. Founder-CEO Bill Stone's 40-year tenure and disciplined M&amp;A strategy have built a durable franchise with a sustainable 30% payout ratio dividend (13 consecutive years paid, 9 years of growth, 10% 5yr CAGR).</w:t>
      </w:r>
    </w:p>
    <w:p>
      <w:pPr>
        <w:spacing w:after="120"/>
      </w:pPr>
      <w:r>
        <w:rPr>
          <w:rFonts w:ascii="Calibri" w:hAnsi="Calibri"/>
          <w:b w:val="0"/>
          <w:color w:val="3A4A28"/>
          <w:sz w:val="20"/>
        </w:rPr>
        <w:t>The bear case centers on AI disruption risk and cultural headwinds. Morgan Stanley explicitly cited the 'AI risk narrative' as weighing on the stock, noting that generative AI could automate document processing and reporting workflows that SS&amp;C provides as high-margin services [3]. D/E of 111% reflects significant debt from serial acquisitions, creating interest rate sensitivity and limiting strategic flexibility. ROE of 11.8% and profit margin of 13.1% lag software peers, depressed by the acquisition-heavy balance sheet and services mix [7]. The wide gap between GAAP EPS ($0.97 Q2) and adjusted EPS ($1.78 Q2) reflects significant amortization that understates true capital consumption [2]. Glassdoor reviews revealing micromanagement, favoritism, and lack of transparency suggest internal culture issues that could impair talent retention and innovation in the competitive fintech labor market [4]. Net insider selling of $14M over the last 12 months raises questions about management conviction at current prices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organic revenue growth accelerating from 5.0% in Q1 to 7.6% in Q2 2026 with record $1,695.7M quarterly revenue, suggesting improving core momentum beyond M&amp;A-driven growth [2]</w:t>
      </w:r>
    </w:p>
    <w:p>
      <w:pPr>
        <w:spacing w:before="40" w:after="40"/>
        <w:ind w:left="283"/>
      </w:pPr>
      <w:r>
        <w:rPr>
          <w:rFonts w:ascii="Calibri" w:hAnsi="Calibri"/>
          <w:b/>
          <w:color w:val="4A6B25"/>
          <w:sz w:val="20"/>
        </w:rPr>
        <w:t xml:space="preserve">2. </w:t>
      </w:r>
      <w:r>
        <w:rPr>
          <w:rFonts w:ascii="Calibri" w:hAnsi="Calibri"/>
          <w:b w:val="0"/>
          <w:color w:val="3A4A28"/>
          <w:sz w:val="20"/>
        </w:rPr>
        <w:t>Forward P/E of 10.5x represents significant multiple expansion potential versus financial technology sector median of ~19x if the AI disruption narrative fades and organic growth sustains above 7% [7]</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toward the 40% target by Q4 2026 as operating leverage improves on recurring revenue growth and AI-driven automation reduces operating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narrative — generative AI could automate document processing, data reconciliation, and reporting workflows that comprise a meaningful portion of SS&amp;C's high-margin service revenue, as flagged by Morgan Stanley [3]</w:t>
      </w:r>
    </w:p>
    <w:p>
      <w:pPr>
        <w:spacing w:before="40" w:after="40"/>
        <w:ind w:left="283"/>
      </w:pPr>
      <w:r>
        <w:rPr>
          <w:rFonts w:ascii="Calibri" w:hAnsi="Calibri"/>
          <w:b/>
          <w:color w:val="4A6B25"/>
          <w:sz w:val="20"/>
        </w:rPr>
        <w:t xml:space="preserve">2. </w:t>
      </w:r>
      <w:r>
        <w:rPr>
          <w:rFonts w:ascii="Calibri" w:hAnsi="Calibri"/>
          <w:b w:val="0"/>
          <w:color w:val="3A4A28"/>
          <w:sz w:val="20"/>
        </w:rPr>
        <w:t>Wide GAAP-to-adjusted earnings gap ($0.97 vs $1.78 Q2 EPS) masks true capital consumption from serial acquisitions — if goodwill impairments materialize, reported earnings deteriorate sharply [2]</w:t>
      </w:r>
    </w:p>
    <w:p>
      <w:pPr>
        <w:spacing w:before="40" w:after="40"/>
        <w:ind w:left="283"/>
      </w:pPr>
      <w:r>
        <w:rPr>
          <w:rFonts w:ascii="Calibri" w:hAnsi="Calibri"/>
          <w:b/>
          <w:color w:val="4A6B25"/>
          <w:sz w:val="20"/>
        </w:rPr>
        <w:t xml:space="preserve">3. </w:t>
      </w:r>
      <w:r>
        <w:rPr>
          <w:rFonts w:ascii="Calibri" w:hAnsi="Calibri"/>
          <w:b w:val="0"/>
          <w:color w:val="3A4A28"/>
          <w:sz w:val="20"/>
        </w:rPr>
        <w:t>Glassdoor-documented culture issues including micromanagement and favoritism risk talent attrition in the competitive fintech labor market, potentially degrading product innovation and client service quality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SS&amp;C's core fund administration, transfer agency, and compliance services are deeply embedded in mission-critical client workflows with 97% retention rates, high switching costs, and regulatory requirements (SEC, ERISA, insurance) that create meaningful barriers to AI-driven displacement [1][3]. Over 80% of covering analysts remain bullish, viewing the business as 'not easily disrupted' by AI [8]. However, generative AI could automate document processing, data reconciliation, and reporting workflows that SS&amp;C currently provides as high-margin services, as flagged by Morgan Stanley [3]. CEO Stone's proactive 'Ops-A.I. Revolution' strategy with the Link AI engine and agentic AI deployment is the right response but the outcome remains uncertain. AI Opportunity (1/1): SS&amp;C generates quantifiable AI-related revenue through its Link AI engine (document automation, PII identification), agentic AI in fund administration platforms, and AI-powered compliance tools deployed across the 18,000+ client base [3]. The Intralinks platform integrates AI into dealmaking workflows with published research validating adoption trends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SS&amp;C Technologies Q1 2026 Earnings Release — $1.648B adjusted revenue (+8.8%), $1.69 adjusted EPS (+14.2%), SS&amp;C Investor Relations, April 23, 2026</w:t>
      </w:r>
    </w:p>
    <w:p>
      <w:pPr>
        <w:spacing w:before="20" w:after="20"/>
        <w:ind w:left="170"/>
      </w:pPr>
      <w:r>
        <w:rPr>
          <w:rFonts w:ascii="Calibri" w:hAnsi="Calibri"/>
          <w:b/>
          <w:color w:val="4A6B25"/>
          <w:sz w:val="15"/>
        </w:rPr>
        <w:t xml:space="preserve">2. </w:t>
      </w:r>
      <w:r>
        <w:rPr>
          <w:rFonts w:ascii="Calibri" w:hAnsi="Calibri"/>
          <w:b w:val="0"/>
          <w:color w:val="3A4A28"/>
          <w:sz w:val="17"/>
        </w:rPr>
        <w:t>SS&amp;C Technologies Record Q2 2026 Financial Results — $1,695.7M revenue (+10.3%), GAAP EPS $0.97 (+34.7%), SS&amp;C Investor Relations, July 23, 2026</w:t>
      </w:r>
    </w:p>
    <w:p>
      <w:pPr>
        <w:spacing w:before="20" w:after="20"/>
        <w:ind w:left="170"/>
      </w:pPr>
      <w:r>
        <w:rPr>
          <w:rFonts w:ascii="Calibri" w:hAnsi="Calibri"/>
          <w:b/>
          <w:color w:val="4A6B25"/>
          <w:sz w:val="15"/>
        </w:rPr>
        <w:t xml:space="preserve">3. </w:t>
      </w:r>
      <w:r>
        <w:rPr>
          <w:rFonts w:ascii="Calibri" w:hAnsi="Calibri"/>
          <w:b w:val="0"/>
          <w:color w:val="3A4A28"/>
          <w:sz w:val="17"/>
        </w:rPr>
        <w:t>SS&amp;C Technologies AI Strategy and Corporate Profile — Link AI engine, agentic AI deployment, Ops-A.I. Revolution, ssctech.com,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SS&amp;C Technologies Leadership Culture, micromanagement and favoritism concerns, 3,413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MarketBeat / SEC Filings — SSNC Insider Trading Activity, net selling $14M, $1.5B buyback authorization, 2025-2026</w:t>
      </w:r>
    </w:p>
    <w:p>
      <w:pPr>
        <w:spacing w:before="20" w:after="20"/>
        <w:ind w:left="170"/>
      </w:pPr>
      <w:r>
        <w:rPr>
          <w:rFonts w:ascii="Calibri" w:hAnsi="Calibri"/>
          <w:b/>
          <w:color w:val="4A6B25"/>
          <w:sz w:val="15"/>
        </w:rPr>
        <w:t xml:space="preserve">6. </w:t>
      </w:r>
      <w:r>
        <w:rPr>
          <w:rFonts w:ascii="Calibri" w:hAnsi="Calibri"/>
          <w:b w:val="0"/>
          <w:color w:val="3A4A28"/>
          <w:sz w:val="17"/>
        </w:rPr>
        <w:t>SS&amp;C Technologies ESG Report and Sustainalytics Rating (Average) — ssctech.com,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SSNC Key Statistics, Forward P/E 10.45, D/E 111%, ROE 11.8%,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Analyst Sentiment on SS&amp;C Technologies Remains Strong Despite AI Risks —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