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STLA</w:t>
      </w:r>
      <w:r>
        <w:rPr>
          <w:rFonts w:ascii="Calibri" w:hAnsi="Calibri"/>
          <w:b/>
          <w:color w:val="1A2010"/>
          <w:sz w:val="40"/>
        </w:rPr>
        <w:t xml:space="preserve">  Stellantis N.V.</w:t>
      </w:r>
    </w:p>
    <w:p>
      <w:pPr>
        <w:spacing w:after="120"/>
      </w:pPr>
      <w:r>
        <w:rPr>
          <w:rFonts w:ascii="Calibri" w:hAnsi="Calibri"/>
          <w:b/>
          <w:color w:val="6E8450"/>
          <w:sz w:val="18"/>
        </w:rPr>
        <w:t>GROWTH SLEEVE · 2026-08-16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Netherlands</w:t>
      </w:r>
    </w:p>
    <w:p>
      <w:pPr>
        <w:spacing w:after="80"/>
      </w:pPr>
      <w:r>
        <w:rPr>
          <w:rFonts w:ascii="Calibri" w:hAnsi="Calibri"/>
          <w:b w:val="0"/>
          <w:color w:val="3A4A28"/>
          <w:sz w:val="20"/>
        </w:rPr>
        <w:t>Stellantis N.V. is a transatlantic automaker formed from the 2021 merger of Fiat Chrysler and PSA Group, operating a 14-brand portfolio including Jeep, Ram, Chrysler, Dodge, Peugeot, Fiat, and Maserati. After a €22.3 billion net loss and dividend suspension in FY2025 tied to a strategic pivot away from an overly aggressive EV transition, new CEO Antonio Filosa (installed June 2025) has cut the executive leadership team roughly in half and launched a 'Fastlane 2030' plan committing over €60 billion to global platforms, powertrains, and technology, including autonomous driving partnerships with NVIDIA, Uber, Foxconn, and Pony.ai. H1 2026 results showed a return to modest profitability with net revenues of €81.6B, up 10% YoY.</w:t>
      </w:r>
    </w:p>
    <w:p>
      <w:r>
        <w:rPr>
          <w:rFonts w:ascii="Calibri" w:hAnsi="Calibri"/>
          <w:b/>
          <w:color w:val="6E8450"/>
          <w:sz w:val="18"/>
        </w:rPr>
        <w:t>250,000 Employees · https://www.stellantis.com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Stellantis is mid-turnaround rather than mid-success — the company absorbed a €22.3B net loss and dividend suspension in FY2025 after admitting it 'overestimated the pace of the energy transition,' and also abandoned its Level 3 AutoDrive technology after spending billions, indicating a troubled recent track record rather than proven pivots [1][3]. AI Deployment (1/2): AI is used internally with quantified engineering gains — simulation accelerated up to 300x and software productivity up ~37% via code generation — but no AI-powered products are yet shipping to customers; STLA AutoDrive is not planned until 2028 [2]. Market Share (0/2): Stellantis has been losing ground, particularly in North America, with management explicitly acknowledging the company 'lost its way' in key markets [2]. Product Pipeline (2/2): The Fastlane 2030 plan commits over €60B (40% to global platforms/powertrains/technology) with STLA AutoDrive named for a 2028 North American launch, providing specific timeline and investment visibility [2]. R&amp;D Intensity (0/1): No R&amp;D-to-revenue percentage relative to auto industry peers was disclosed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Stellantis' 'freedom of movement' mission statement identifies the company's purpose but reads as fairly generic mobility-industry language rather than a distinctively differentiated cause, and the past year's strategic reversal on EV commitments raises questions about consistency of purpose. Community Impact (0/2): No evidence of distinctive charitable giving or community investment programs was found in research. Employee Retention (0/2): The leadership team was cut roughly in half under new CEO Filosa and multiple senior executives departed in 2025-2026, indicating organizational instability rather than retention strength, though one anecdote describes a cultural shift toward employee transparency at a Detroit plant [2]. Insider Buying (0/2): No evidence of net insider buying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84% modestly exceeds the 70% target, scoring 0.94, while ROE of -28.69% and TTM profit margin of -12.1% (on a $22.25B net loss against $183.78B revenue) both floor at 0.0 given the negative-return floor rule [4]. H1 2026 revenue growth of 10% YoY scores at the 1.0 cap, reflecting the early-stage turnaround, but 5-year revenue CAGR of just ~0.7% (€149.4B in 2021 to €153.5B in 2025) scores only 0.38, capturing the multi-year stagnation/decline that preceded the 2026 recovery [1]. Forward P/E of 9.13 is attractively below the 20 target, scoring at the 1.0 cap. Forward PEG was excluded as not meaningful given the loss-to-profit turnaround base effect. The combination of an over-levered, still-unprofitable balance sheet with early signs of a genuine top-line recovery produces a middling 5/10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Stellantis under new CEO Antonio Filosa is attempting a genuine infinite-game reset after a year defined by finite-game consequences — an over-aggressive EV push driven more by regulatory targets and competitive FOMO than a durable Just Cause, resulting in a €22.3B loss, dividend suspension, and abandoned technology investments. The honest public admission that the company 'lost its way' and the willingness to take the full financial hit up front are the clearest infinite-game signals; the halved executive team and ongoing North American market share erosion are the clearest finite-game red flags.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Stellantis' 'freedom of movement' framing is a functional but largely interchangeable auto-industry mission, and the company's own admission that it overestimated the pace of the EV transition suggests recent strategy was driven by competitive positioning and regulatory targets rather than a deeply held, consistently executed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executive leadership team was cut roughly in half under CEO Filosa with multiple brand-CEO roles removed from the top table, and the company is in the midst of significant organizational upheaval; while one cited anecdote describes improved plant-level transparency, the overall picture is one of instability rather than a high-trust environment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Stellantis is pursuing autonomous-driving and technology partnerships with NVIDIA, Applied Intuition, Uber, Foxconn, and Pony.ai rather than attempting to out-build every capability internally, reflecting a learn-and-collaborate posture toward technology leaders in adjacent fields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public reversal from an aggressive all-EV strategy back toward a more balanced ICE/hybrid/EV portfolio, paired with the €22B restructuring charge, represents a real strategic correction, though it reads more as a reactive course-correction from a failed bet than a proactive, cause-driven transformation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Filosa's willingness to take the full €22B write-down, suspend the dividend, and publicly admit the company 'overestimated the pace of the energy transition' rather than obscuring the miss demonstrates a real instance of prioritizing long-term correction over short-term optics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Stellantis is an early-stage turnaround story trading at a deeply discounted 9.13x forward P/E after a brutal FY2025 (€22.3B net loss, dividend suspension, €22B restructuring charge) forced a full strategic reset under new CEO Antonio Filosa [1]. H1 2026 results show the reset gaining traction — net revenues of €81.6B (+10% YoY) and a return to net profit of €670M versus a €2.26B loss a year earlier — while the Fastlane 2030 plan commits over €60B toward global platforms, powertrains, and autonomous technology partnerships with NVIDIA, Uber, and Pony.ai [1][2]. A halved executive team and Filosa's willingness to publicly own the prior strategic overreach on EVs are encouraging governance signals for a company attempting to rebuild investor trust from a low base.</w:t>
      </w:r>
    </w:p>
    <w:p>
      <w:pPr>
        <w:spacing w:after="120"/>
      </w:pPr>
      <w:r>
        <w:rPr>
          <w:rFonts w:ascii="Calibri" w:hAnsi="Calibri"/>
          <w:b w:val="0"/>
          <w:color w:val="3A4A28"/>
          <w:sz w:val="20"/>
        </w:rPr>
        <w:t>The bear case centers on execution risk and balance sheet strain during an unfinished turnaround. D/E of 84% exceeds the target with ROE still deeply negative (-28.69%) and TTM profit margin of -12.1%, while the 5-year revenue CAGR of just 0.7% reflects years of stagnation prior to the current recovery [4]. Stellantis has already demonstrated a costly execution failure by abandoning its Level 3 AutoDrive technology after billions in spending, raising questions about the company's ability to execute the newly announced 2028 STLA AutoDrive timeline [2]. North American market share continues to erode, tariff headwinds are estimated at €1.0-1.2B for 2026, and the Inspire Impact Score of -49 (MISALIGNED) may limit allocation for faith-based investors. Given the unproven nature of the turnaround and the finite-game history that produced the 2025 crisis, a WATCH rating reflects appropriate caution until several more quarters of consistent execution are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sequential profitability improvement following H1 2026's return to net profit (€670M vs. a €2.26B loss a year earlier), which would validate the Filosa-led operational reset [1]</w:t>
      </w:r>
    </w:p>
    <w:p>
      <w:pPr>
        <w:spacing w:before="40" w:after="40"/>
        <w:ind w:left="283"/>
      </w:pPr>
      <w:r>
        <w:rPr>
          <w:rFonts w:ascii="Calibri" w:hAnsi="Calibri"/>
          <w:b/>
          <w:color w:val="4A6B25"/>
          <w:sz w:val="20"/>
        </w:rPr>
        <w:t xml:space="preserve">2. </w:t>
      </w:r>
      <w:r>
        <w:rPr>
          <w:rFonts w:ascii="Calibri" w:hAnsi="Calibri"/>
          <w:b w:val="0"/>
          <w:color w:val="3A4A28"/>
          <w:sz w:val="20"/>
        </w:rPr>
        <w:t>Fastlane 2030 plan execution, including STLA AutoDrive's targeted 2028 North American launch and continued autonomous-vehicle partnership progress with NVIDIA, Uber, and Pony.ai [2]</w:t>
      </w:r>
    </w:p>
    <w:p>
      <w:pPr>
        <w:spacing w:before="40" w:after="40"/>
        <w:ind w:left="283"/>
      </w:pPr>
      <w:r>
        <w:rPr>
          <w:rFonts w:ascii="Calibri" w:hAnsi="Calibri"/>
          <w:b/>
          <w:color w:val="4A6B25"/>
          <w:sz w:val="20"/>
        </w:rPr>
        <w:t xml:space="preserve">3. </w:t>
      </w:r>
      <w:r>
        <w:rPr>
          <w:rFonts w:ascii="Calibri" w:hAnsi="Calibri"/>
          <w:b w:val="0"/>
          <w:color w:val="3A4A28"/>
          <w:sz w:val="20"/>
        </w:rPr>
        <w:t>Halved executive leadership team enabling faster decision-making and accountability, a structural governance change that could accelerate turnaround execution versus the prior bureaucratic 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Unproven turnaround execution risk given the company's recent abandonment of its Level 3 AutoDrive program after billions in spending, raising doubts about the credibility of the newly announced 2028 STLA AutoDrive timeline [2]</w:t>
      </w:r>
    </w:p>
    <w:p>
      <w:pPr>
        <w:spacing w:before="40" w:after="40"/>
        <w:ind w:left="283"/>
      </w:pPr>
      <w:r>
        <w:rPr>
          <w:rFonts w:ascii="Calibri" w:hAnsi="Calibri"/>
          <w:b/>
          <w:color w:val="4A6B25"/>
          <w:sz w:val="20"/>
        </w:rPr>
        <w:t xml:space="preserve">2. </w:t>
      </w:r>
      <w:r>
        <w:rPr>
          <w:rFonts w:ascii="Calibri" w:hAnsi="Calibri"/>
          <w:b w:val="0"/>
          <w:color w:val="3A4A28"/>
          <w:sz w:val="20"/>
        </w:rPr>
        <w:t>Balance sheet strain with D/E of 84% and still-negative ROE (-28.69%) leaves limited room for error if the North American and European market share erosion continues or tariff headwinds (estimated €1.0-1.2B in 2026) worsen [1][4]</w:t>
      </w:r>
    </w:p>
    <w:p>
      <w:pPr>
        <w:spacing w:before="40" w:after="40"/>
        <w:ind w:left="283"/>
      </w:pPr>
      <w:r>
        <w:rPr>
          <w:rFonts w:ascii="Calibri" w:hAnsi="Calibri"/>
          <w:b/>
          <w:color w:val="4A6B25"/>
          <w:sz w:val="20"/>
        </w:rPr>
        <w:t xml:space="preserve">3. </w:t>
      </w:r>
      <w:r>
        <w:rPr>
          <w:rFonts w:ascii="Calibri" w:hAnsi="Calibri"/>
          <w:b w:val="0"/>
          <w:color w:val="3A4A28"/>
          <w:sz w:val="20"/>
        </w:rPr>
        <w:t>Structural EV-transition risk to the autonomous driving thesis, given Stellantis is now dependent on external technology partners (NVIDIA, Applied Intuition, Pony.ai) rather than proprietary capability after its internal AutoDrive effort failed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Stellantis' core business — physical vehicle design, manufacturing, and distribution — is not directly substitutable by AI, and the company is deploying AI internally for engineering efficiency (300x faster simulation) rather than facing existential AI substitution risk [2]. However, autonomous driving represents a genuine long-term structural risk to the traditional automaker model, and Stellantis' own abandonment of its Level 3 AutoDrive program after billions in spending demonstrates real execution risk in the AI-adjacent capabilities that could determine which automakers remain relevant [2]. The company is now pursuing autonomy through partnerships (NVIDIA, Applied Intuition, Pony.ai, Uber) rather than proprietary technology, a defensive-but-viable posture. AI Opportunity (0/1): No specific AI-attributable revenue figure was disclosed; AI use is currently limited to internal engineering efficiency rather than a monetized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Stellantis Full Year 2025 Results, Q1 2026 and Q2 2026 Financial Results — stellantis.com, stocktitan.net, February-August 2026</w:t>
      </w:r>
    </w:p>
    <w:p>
      <w:pPr>
        <w:spacing w:before="20" w:after="20"/>
        <w:ind w:left="170"/>
      </w:pPr>
      <w:r>
        <w:rPr>
          <w:rFonts w:ascii="Calibri" w:hAnsi="Calibri"/>
          <w:b/>
          <w:color w:val="4A6B25"/>
          <w:sz w:val="15"/>
        </w:rPr>
        <w:t xml:space="preserve">2. </w:t>
      </w:r>
      <w:r>
        <w:rPr>
          <w:rFonts w:ascii="Calibri" w:hAnsi="Calibri"/>
          <w:b w:val="0"/>
          <w:color w:val="3A4A28"/>
          <w:sz w:val="17"/>
        </w:rPr>
        <w:t>Stellantis CEO Antonio Filosa Turnaround, Fastlane 2030 Plan, AutoDrive Partnerships with NVIDIA/Uber/Pony.ai — detroitnews.com, autonews.com, constellationr.com, 2025-2026</w:t>
      </w:r>
    </w:p>
    <w:p>
      <w:pPr>
        <w:spacing w:before="20" w:after="20"/>
        <w:ind w:left="170"/>
      </w:pPr>
      <w:r>
        <w:rPr>
          <w:rFonts w:ascii="Calibri" w:hAnsi="Calibri"/>
          <w:b/>
          <w:color w:val="4A6B25"/>
          <w:sz w:val="15"/>
        </w:rPr>
        <w:t xml:space="preserve">3. </w:t>
      </w:r>
      <w:r>
        <w:rPr>
          <w:rFonts w:ascii="Calibri" w:hAnsi="Calibri"/>
          <w:b w:val="0"/>
          <w:color w:val="3A4A28"/>
          <w:sz w:val="17"/>
        </w:rPr>
        <w:t>Stellantis Corporate Social Responsibility and ESG Disclosures — stellantis.com/en/sustainability, 2025-2026</w:t>
      </w:r>
    </w:p>
    <w:p>
      <w:pPr>
        <w:spacing w:before="20" w:after="20"/>
        <w:ind w:left="170"/>
      </w:pPr>
      <w:r>
        <w:rPr>
          <w:rFonts w:ascii="Calibri" w:hAnsi="Calibri"/>
          <w:b/>
          <w:color w:val="4A6B25"/>
          <w:sz w:val="15"/>
        </w:rPr>
        <w:t xml:space="preserve">4. </w:t>
      </w:r>
      <w:r>
        <w:rPr>
          <w:rFonts w:ascii="Calibri" w:hAnsi="Calibri"/>
          <w:b w:val="0"/>
          <w:color w:val="3A4A28"/>
          <w:sz w:val="17"/>
        </w:rPr>
        <w:t>GuruFocus, StockAnalysis.com, TheGlobeAndMail — STLA Key Statistics: Forward P/E 9.13x, ROE -28.69%, D/E 84%, Stock Price $5.37, Dividend Suspended,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