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TMC</w:t>
      </w:r>
      <w:r>
        <w:rPr>
          <w:rFonts w:ascii="Calibri" w:hAnsi="Calibri"/>
          <w:b/>
          <w:color w:val="1A2010"/>
          <w:sz w:val="40"/>
        </w:rPr>
        <w:t xml:space="preserve">  TMC the metals company Inc.</w:t>
      </w:r>
    </w:p>
    <w:p>
      <w:pPr>
        <w:spacing w:after="120"/>
      </w:pPr>
      <w:r>
        <w:rPr>
          <w:rFonts w:ascii="Calibri" w:hAnsi="Calibri"/>
          <w:b/>
          <w:color w:val="6E8450"/>
          <w:sz w:val="18"/>
        </w:rPr>
        <w:t>GROWTH SLEEVE · 2026-08-24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Other Industrial Metals &amp; Mining · NASDAQ · Canada</w:t>
      </w:r>
    </w:p>
    <w:p>
      <w:pPr>
        <w:spacing w:after="80"/>
      </w:pPr>
      <w:r>
        <w:rPr>
          <w:rFonts w:ascii="Calibri" w:hAnsi="Calibri"/>
          <w:b w:val="0"/>
          <w:color w:val="3A4A28"/>
          <w:sz w:val="20"/>
        </w:rPr>
        <w:t>TMC the metals company is a pre-revenue deep-sea mining explorer seeking to collect polymetallic nodules containing nickel, cobalt, copper, and manganese from the Clarion-Clipperton Zone in the Pacific Ocean via its NORI, TOML, and Marawa subsidiaries. The company is pursuing U.S. NOAA permitting as an alternative to the International Seabed Authority process, while its NORI subsidiary separately obtained ITLOS provisional measures and an ISA-approved contract extension. Development partner Allseas is building the first commercial nodule collection system (nameplate capacity 3.0 million wet tonnes/year) aboard the Hidden Gem vessel, with a phased plan toward 12 million tonnes/year at steady state. Headquartered in Vancouver, Canada.</w:t>
      </w:r>
    </w:p>
    <w:p>
      <w:r>
        <w:rPr>
          <w:rFonts w:ascii="Calibri" w:hAnsi="Calibri"/>
          <w:b/>
          <w:color w:val="6E8450"/>
          <w:sz w:val="18"/>
        </w:rPr>
        <w:t>48 Employees · https://metals.co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TMC is pioneering an entirely new extractive industry — commercial deep-sea nodule collection — advancing simultaneously on two regulatory tracks: a NOAA permitting pathway in the U.S. and, through its NORI subsidiary, ITLOS-granted provisional measures plus an ISA-approved contract extension under the traditional international framework [1]. The Allseas-built Hidden Gem collection system (3.0 Mtpa nameplate capacity) represents real engineering progress toward first-of-kind commercial operation. AI Deployment (0/2): No AI products or AI-driven efficiency programs have been disclosed. Market Share (2/2): TMC is effectively the only company globally with an active commercial-scale nodule collection system and dual regulatory pathways in progress, controlling exploration rights across a large share of the Clarion-Clipperton Zone [1]. Product Pipeline (1/2): A phased production plan targets 12 Mtpa at steady state with the Hidden Gem system as the initial production asset, though specific commercial-production start dates remain contingent on unresolved permitting timelines. R&amp;D Intensity (1/1): As a pre-revenue company, essentially all spending is development-stage R&amp;D — custom collection-system engineering, environmental monitoring, and dual-track regulatory science — representing R&amp;D intensity far above any mining peer by necessity.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TMC frames its purpose around supplying critical battery and defense minerals with lower environmental impact than land-based mining — a specific, thoughtful positioning connecting to the energy transition and supply-chain security [2]. However, independent scientists, Greenpeace, and the Pulitzer Center have documented the company shifting its public narrative from environmental/ESG framing toward national-security and reindustrialization framing as political winds changed, and have alleged deceptive shareholder communications about ESG credentials — materially undermining the mission's credibility [3]. Community Impact (0/2): No new community or charitable program evidence was found this cycle beyond prior Pacific Island sponsoring-state engagement; controversy (Greenpeace criticism, legal complaints) dominates current coverage. Employee Retention (0/2): No retention or turnover data is available for the 48-person team. Insider Buying (0/2): No evidence of meaningful net insider buying was identified in current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TMC remains pre-revenue with a $20.6M net loss in Q1 2026 and an $80.7M net loss for H1 2026, against $98.7M cash and roughly $20.7M in quarterly operating cash burn [4]. ROE is deeply negative (-1123% per available data) reflecting a thin, largely depleted equity base after cumulative losses; D/E is not meaningful given negative/near-zero shareholders' equity and is excluded rather than scored favorably. Revenue, profit margin, forward P/E, and PEG are all undefined or unavailable given the absence of commercial revenue. Every scorable metric therefore floors at 0, yielding an Infrastructure score of 0 despite the liquidity floor being comfortably cleared: 20,846,817 avg daily volume × $4.79 = $99.9M.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TMC shows a genuine, decade-plus pattern of courage in pursuing deep-sea mining against sustained international opposition, and real existential flexibility in pivoting its regulatory strategy when the ISA process stalled. However, its Just Cause has been documented shifting from environmental framing to national-security/reindustrialization framing as political winds changed — the hallmark of a cause held opportunistically rather than resiliently — which weighs down an otherwise MIXED profile.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TMC's framing of deep-sea nodules as a lower-impact alternative to land-based mining for critical minerals is a genuine, bold positioning, but the Pulitzer Center and Greenpeace have documented a narrative shift from ESG/environmental justification to Trump-era reindustrialization and national-security framing as the original green narrative lost traction [3]. A resilient Just Cause does not pivot with the political cycle; this pattern reads as opportunistic rather than a cause held consistently.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TMC's 48-person team is too small for a meaningful cultural assessment, and no turnover or engagement data is publicly available. No red flags (mass layoffs, leadership churn) were identified this cycle, supporting an adequate rather than exceptional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TMC's public positioning emphasizes being the only company with an active commercial-scale nodule collection system rather than acknowledging competitors or critics as sources of self-improvement; its combative posture toward international regulators (ISA) and environmental groups reflects a finite, adversarial competitive stance.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TMC pursued a fundamental regulatory-strategy pivot — pressing forward with a U.S. NOAA permitting pathway when the ISA process stalled, while its NORI subsidiary simultaneously kept the traditional international track alive via ITLOS provisional measures and an ISA-approved contract extension [1]. Running both regulatory tracks in parallel shows real strategic adaptability, though it was driven substantially by necessity given years of ISA delay.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Gerard Barron has pursued deep-sea mining since founding the company's predecessor in 2011, sustaining well over a decade of losses (including an $80.7M net loss in H1 2026 alone) and testifying before Congress to advance the cause despite fierce, well-organized opposition from environmental groups, multiple governments, and a growing list of corporate pledges to avoid deep-sea minerals [2][3]. This sustained financial and reputational commitment to a still-unproven business represents a genuine pattern of costly,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TMC is a binary, pre-revenue bet on becoming the first company to commercialize deep-sea polymetallic nodule mining. The company is pursuing regulatory approval on two fronts simultaneously — a U.S. NOAA permitting pathway and, through its NORI subsidiary, ITLOS provisional measures plus an ISA-approved contract extension under the traditional international framework — reducing single-path regulatory risk relative to prior periods [1]. Development partner Allseas has built the first commercial-scale nodule collection system (3.0 Mtpa nameplate capacity, Hidden Gem vessel), with a phased plan toward 12 Mtpa at steady state, giving TMC genuine engineering lead time over any competitor. The minerals TMC targets — nickel, cobalt, copper, manganese — feed directly into EV battery and grid/AI-data-center infrastructure supply chains, and the company's structural AI Resilience is a genuine strength: physical resource extraction cannot be displaced by AI, and AI-driven electrification demand is, if anything, a tailwind for the underlying commodities.</w:t>
      </w:r>
    </w:p>
    <w:p>
      <w:pPr>
        <w:spacing w:after="120"/>
      </w:pPr>
      <w:r>
        <w:rPr>
          <w:rFonts w:ascii="Calibri" w:hAnsi="Calibri"/>
          <w:b w:val="0"/>
          <w:color w:val="3A4A28"/>
          <w:sz w:val="20"/>
        </w:rPr>
        <w:t>The bear case is severe. TMC remains pre-revenue with an $80.7M net loss for H1 2026, just $98.7M in cash, and ~$20.7M in quarterly operating burn — a runway measured in quarters, not years, absent new financing or a permit-driven re-rating [4]. Deep-sea mining faces fierce, well-organized opposition: Greenpeace and the Pulitzer Center have documented TMC shifting its public narrative from environmental to national-security framing, and separate analysis alleges the company is 'circumventing, and thereby potentially violating, international law' by using the U.S. permitting process outside the traditional ISA framework — an approach that could be reversed by a future U.S. administration or successfully challenged internationally [3]. Dozens of major corporations have pledged to avoid deep-sea-mined minerals, potentially limiting TMC's addressable customer base even if production begins on schedule. Every mechanically-scored Infrastructure metric floors at zero, reflecting the fundamental fact that TMC has no revenue, no profit, and deeply negative return on equity to underwrite the story today.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NOAA permit progression toward a commercial recovery authorization, running in parallel with NORI's ITLOS provisional measures and ISA-approved contract extension as a second regulatory track</w:t>
      </w:r>
    </w:p>
    <w:p>
      <w:pPr>
        <w:spacing w:before="40" w:after="40"/>
        <w:ind w:left="283"/>
      </w:pPr>
      <w:r>
        <w:rPr>
          <w:rFonts w:ascii="Calibri" w:hAnsi="Calibri"/>
          <w:b/>
          <w:color w:val="4A6B25"/>
          <w:sz w:val="20"/>
        </w:rPr>
        <w:t xml:space="preserve">2. </w:t>
      </w:r>
      <w:r>
        <w:rPr>
          <w:rFonts w:ascii="Calibri" w:hAnsi="Calibri"/>
          <w:b w:val="0"/>
          <w:color w:val="3A4A28"/>
          <w:sz w:val="20"/>
        </w:rPr>
        <w:t>Hidden Gem collection system (Allseas-built, 3.0 Mtpa nameplate capacity) advancing toward first commercial production, providing tangible engineering proof-of-concept ahead of any competitor</w:t>
      </w:r>
    </w:p>
    <w:p>
      <w:pPr>
        <w:spacing w:before="40" w:after="40"/>
        <w:ind w:left="283"/>
      </w:pPr>
      <w:r>
        <w:rPr>
          <w:rFonts w:ascii="Calibri" w:hAnsi="Calibri"/>
          <w:b/>
          <w:color w:val="4A6B25"/>
          <w:sz w:val="20"/>
        </w:rPr>
        <w:t xml:space="preserve">3. </w:t>
      </w:r>
      <w:r>
        <w:rPr>
          <w:rFonts w:ascii="Calibri" w:hAnsi="Calibri"/>
          <w:b w:val="0"/>
          <w:color w:val="3A4A28"/>
          <w:sz w:val="20"/>
        </w:rPr>
        <w:t>Additional strategic financing or offtake partnerships that extend TMC's cash runway beyond the current ~$98.7M position and roughly $20.7M quarterly burn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risk — $98.7M cash against an $80.7M H1 2026 net loss and ~$20.7M quarterly operating burn leaves limited room for permitting delays without additional dilutive financing</w:t>
      </w:r>
    </w:p>
    <w:p>
      <w:pPr>
        <w:spacing w:before="40" w:after="40"/>
        <w:ind w:left="283"/>
      </w:pPr>
      <w:r>
        <w:rPr>
          <w:rFonts w:ascii="Calibri" w:hAnsi="Calibri"/>
          <w:b/>
          <w:color w:val="4A6B25"/>
          <w:sz w:val="20"/>
        </w:rPr>
        <w:t xml:space="preserve">2. </w:t>
      </w:r>
      <w:r>
        <w:rPr>
          <w:rFonts w:ascii="Calibri" w:hAnsi="Calibri"/>
          <w:b w:val="0"/>
          <w:color w:val="3A4A28"/>
          <w:sz w:val="20"/>
        </w:rPr>
        <w:t>Legal and diplomatic risk — the U.S. NOAA permitting pathway bypassing the traditional ISA framework has been characterized as potentially violating international law, exposing TMC to reversal under a future administration or international legal challenge</w:t>
      </w:r>
    </w:p>
    <w:p>
      <w:pPr>
        <w:spacing w:before="40" w:after="40"/>
        <w:ind w:left="283"/>
      </w:pPr>
      <w:r>
        <w:rPr>
          <w:rFonts w:ascii="Calibri" w:hAnsi="Calibri"/>
          <w:b/>
          <w:color w:val="4A6B25"/>
          <w:sz w:val="20"/>
        </w:rPr>
        <w:t xml:space="preserve">3. </w:t>
      </w:r>
      <w:r>
        <w:rPr>
          <w:rFonts w:ascii="Calibri" w:hAnsi="Calibri"/>
          <w:b w:val="0"/>
          <w:color w:val="3A4A28"/>
          <w:sz w:val="20"/>
        </w:rPr>
        <w:t>Narrative and credibility risk — documented shifts from environmental to national-security framing, plus SEC-complaint allegations of deceptive ESG communications, could deter both investors and future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Deep-sea nodule collection is an entirely physical operation — specialized vessels, collection systems operating at extreme ocean depths, and metallurgical processing — that AI cannot substitute for or disrupt [1]. The business instead stands to benefit structurally from AI/data-center-driven demand growth for battery and grid metals (nickel, cobalt, copper, manganese), the same commodities TMC targets. AI Opportunity (0/1): TMC generates no revenue of any kind, AI-related or otherwise, so the tiebreaker point is not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TMC Provides First Quarter 2026 Corporate Update — investors.metals.co, 2026</w:t>
      </w:r>
    </w:p>
    <w:p>
      <w:pPr>
        <w:spacing w:before="20" w:after="20"/>
        <w:ind w:left="170"/>
      </w:pPr>
      <w:r>
        <w:rPr>
          <w:rFonts w:ascii="Calibri" w:hAnsi="Calibri"/>
          <w:b/>
          <w:color w:val="4A6B25"/>
          <w:sz w:val="15"/>
        </w:rPr>
        <w:t xml:space="preserve">2. </w:t>
      </w:r>
      <w:r>
        <w:rPr>
          <w:rFonts w:ascii="Calibri" w:hAnsi="Calibri"/>
          <w:b w:val="0"/>
          <w:color w:val="3A4A28"/>
          <w:sz w:val="17"/>
        </w:rPr>
        <w:t>TMC the metals Co Inc. — Form 8-K, SEC filing, 2026</w:t>
      </w:r>
    </w:p>
    <w:p>
      <w:pPr>
        <w:spacing w:before="20" w:after="20"/>
        <w:ind w:left="170"/>
      </w:pPr>
      <w:r>
        <w:rPr>
          <w:rFonts w:ascii="Calibri" w:hAnsi="Calibri"/>
          <w:b/>
          <w:color w:val="4A6B25"/>
          <w:sz w:val="15"/>
        </w:rPr>
        <w:t xml:space="preserve">3. </w:t>
      </w:r>
      <w:r>
        <w:rPr>
          <w:rFonts w:ascii="Calibri" w:hAnsi="Calibri"/>
          <w:b w:val="0"/>
          <w:color w:val="3A4A28"/>
          <w:sz w:val="17"/>
        </w:rPr>
        <w:t>How We Analyzed The Metals Company's Public Messaging on Deep-Sea Mining — Pulitzer Center; Greenpeace International/Canada — 5 things to know about The Metals Company, 2025-2026</w:t>
      </w:r>
    </w:p>
    <w:p>
      <w:pPr>
        <w:spacing w:before="20" w:after="20"/>
        <w:ind w:left="170"/>
      </w:pPr>
      <w:r>
        <w:rPr>
          <w:rFonts w:ascii="Calibri" w:hAnsi="Calibri"/>
          <w:b/>
          <w:color w:val="4A6B25"/>
          <w:sz w:val="15"/>
        </w:rPr>
        <w:t xml:space="preserve">4. </w:t>
      </w:r>
      <w:r>
        <w:rPr>
          <w:rFonts w:ascii="Calibri" w:hAnsi="Calibri"/>
          <w:b w:val="0"/>
          <w:color w:val="3A4A28"/>
          <w:sz w:val="17"/>
        </w:rPr>
        <w:t>TMC the metals company posts $80.7M H1 2026 loss — 10-Q Quarterly Report — StockTitan, 2026</w:t>
      </w:r>
    </w:p>
    <w:p>
      <w:pPr>
        <w:spacing w:before="20" w:after="20"/>
        <w:ind w:left="170"/>
      </w:pPr>
      <w:r>
        <w:rPr>
          <w:rFonts w:ascii="Calibri" w:hAnsi="Calibri"/>
          <w:b/>
          <w:color w:val="4A6B25"/>
          <w:sz w:val="15"/>
        </w:rPr>
        <w:t xml:space="preserve">5. </w:t>
      </w:r>
      <w:r>
        <w:rPr>
          <w:rFonts w:ascii="Calibri" w:hAnsi="Calibri"/>
          <w:b w:val="0"/>
          <w:color w:val="3A4A28"/>
          <w:sz w:val="17"/>
        </w:rPr>
        <w:t>TMC the metals company (TMC) Stock Price &amp; Financial Ratios — stockanalysis.com,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The Metals Company Goes Rogue in Desperate Move to Monetize the Deep Seabed — MiningWatch Canada,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