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TNC</w:t>
      </w:r>
      <w:r>
        <w:rPr>
          <w:rFonts w:ascii="Calibri" w:hAnsi="Calibri"/>
          <w:b/>
          <w:color w:val="1A2010"/>
          <w:sz w:val="40"/>
        </w:rPr>
        <w:t xml:space="preserve">  Tennant Company</w:t>
      </w:r>
    </w:p>
    <w:p>
      <w:pPr>
        <w:spacing w:after="120"/>
      </w:pPr>
      <w:r>
        <w:rPr>
          <w:rFonts w:ascii="Calibri" w:hAnsi="Calibri"/>
          <w:b/>
          <w:color w:val="6E8450"/>
          <w:sz w:val="18"/>
        </w:rPr>
        <w:t>GROWTH SLEEVE · 2026-08-19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Tennant Company is a 156-year-old global leader in designing, manufacturing, and marketing commercial and industrial floor cleaning equipment, including scrubbers, sweepers, vacuums, and increasingly autonomous mobile robots (AMRs). Founded in 1870 and headquartered in Eden Prairie, Minnesota, Tennant operates worldwide across the Americas, EMEA, and APAC. CEO Dave Huml has led since March 2021. Q2 2026 revenue was $324.0M (+1.7% YoY), with full-year 2026 guidance of $1.270-$1.310B. The company's AMR business reached $31M in revenue (+37% YoY) and is targeting $250M by 2028 through a deepened partnership with Brain Corp for AI-enabled robotic cleaning solutions.</w:t>
      </w:r>
    </w:p>
    <w:p>
      <w:r>
        <w:rPr>
          <w:rFonts w:ascii="Calibri" w:hAnsi="Calibri"/>
          <w:b/>
          <w:color w:val="6E8450"/>
          <w:sz w:val="18"/>
        </w:rPr>
        <w:t>4,400 Employees · https://www.tennantco.com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Tennant has executed a significant transformation from a traditional cleaning equipment manufacturer into an AI-enabled robotics leader. AMR (autonomous mobile robot) revenue reached $31M in the latest period, up 37% YoY, with a $250M AMR revenue target by 2028 [1]. The April 2026 deepened partnership with Brain Corp accelerates AI-enabled robotic cleaning innovation, combining Tennant's cleaning intelligence with Brain Corp's autonomous navigation technology [2]. This represents a genuine new revenue stream and technology category. However, the ERP rollout problems that caused order processing disruptions and triggered a securities investigation temper the innovation narrative [1]. AI Deployment (2/2): Tennant is shipping AI-powered autonomous cleaning robots to commercial and industrial customers, generating $31M in quantifiable AMR revenue [1]. The Brain Corp partnership integrates AI navigation, obstacle avoidance, and fleet management into Tennant's cleaning platforms. These are real AI products deployed in customer facilities generating measurable revenue. Market Share (1/2): Tennant is a meaningful global player in commercial/industrial floor cleaning with ~$1.3B in annual revenue, but competes with larger players including Kärcher (Germany) and Nilfisk (Denmark). The company is a leader in robotic cleaning but not dominant in the broader cleaning equipment category [1]. Product Pipeline (1/2): The $250M AMR revenue target by 2028 with Brain Corp partnership provides specific revenue visibility and timeline [2]. However, beyond AMR expansion, no other specific next-gen products with named launch dates were disclosed. R&amp;D Intensity (0/1): R&amp;D spending is average for the industrial machinery sector, with the Brain Corp partnership effectively outsourcing core AI R&amp;D rather than investing heavily internally.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Tennant's purpose is to 'empower customers to achieve quality cleaning performance, significantly reduce their environmental impact, and help create a cleaner, safer, healthier world' [4]. This is clear, connects the company's work to environmental and health outcomes, and differentiates somewhat from pure equipment manufacturers. As a 156-year-old company, this purpose has been consistent through multiple industry eras. However, it remains a functional description of what the company does rather than a transformative vision that shapes strategic decisions beyond the obvious. Community Impact (0/2): No specific charitable programs, foundation, or community investment initiatives with dollar amounts were identified in the research. The company likely has community programs given its 156-year history and Minnesota roots, but evidence was not found. Employee Retention (1/2): Glassdoor rating of 3.4/5 based on 323 reviews indicates average employee satisfaction for the industrial manufacturing sector [2]. Work-life balance rated 3.6/5 and culture/values 3.3/5. The low CEO approval rating (23%) and career opportunities score (3.1/5) are concerns, but overall retention appears adequate for the industry. Insider Buying (2/2): Meaningful insider buying in August 2026 — Director Donal Mulligan purchased 8,000 shares at $67.34 for $538,720, and Director Timothy Morse purchased 1,500 shares at $68.18 for $102,270, both on August 12, 2026 [3]. Combined $641K in director purchases signals conviction in the long-term story despite near-term earnings pressure.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The strongest metric is forward P/E of approximately 17x (based on adjusted EPS guidance midpoint of $4.13), well below the 20x target (score 1.0) [1]. D/E of 73.11% is slightly above the 70% target but still healthy (score 0.99). Forward PEG of 2.48 scores 0.26 with 2x weight, reflecting modest growth relative to valuation. However, profitability is severely depressed: profit margin of 1.50% (score 0.075) and ROE of 3.08% (score 0.21 with 2x weight) reflect the drag from ERP implementation costs, supply chain disruptions, and acquisition integration expenses [1]. Revenue growth of 1.7% YoY is below the 10% target (score 0.72). The company easily clears the liquidity floor with ~$21.3M in daily dollar volume at 310K average daily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Tennant Company has notable infinite game characteristics rooted in its 156-year history — a company that has endured through two World Wars, the Great Depression, and multiple technology cycles while maintaining a consistent focus on cleaning solutions [4]. The evolution from lumber to cleaning equipment to AI-enabled robotic cleaning demonstrates long-term adaptability. However, the current operating period reveals finite game pressures: ERP implementation failures causing order processing disruptions, a securities investigation, CEO approval at 23% on Glassdoor, and earnings falling 59% YoY in Q2 2026 [1][2]. The AMR/Brain Corp investment shows vision, but execution challenges suggest leadership is struggling to balance long-term transformation with near-term operational demands.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Tennant's purpose of creating 'a cleaner, safer, healthier world' is genuine and has been partially validated by 156 years of consistent focus on cleaning solutions [4]. The company has maintained this purpose through lumber operations, manual cleaning equipment, powered equipment, sustainable cleaning chemistry, and now autonomous robotics — each era advancing the same underlying cause. Strategic decisions like the $32M Brain Corp investment and commitment to $250M AMR revenue by 2028 trace back to this purpose [2]. However, the cause has not been tested through a genuine existential crisis under current leadership, and the ERP implementation failures suggest operational execution does not always reflect the cause's ambition.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3.4/5 based on 323 reviews is adequate for the industrial manufacturing sector, with work-life balance rated 3.6/5 [2]. However, CEO Dave Huml's 23% approval rating is a significant red flag — it suggests employees do not feel leadership is creating a high-trust environment. Culture and values rated 3.3/5 and career opportunities 3.1/5 indicate an organization that functions but does not inspire. The ERP rollout disruptions may have contributed to employee frustration with leadership competence.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Tennant's strategic partnership with Brain Corp explicitly acknowledges that the company needed external AI expertise to advance its robotic cleaning vision — rather than insisting on building all capabilities internally [2]. The decision to invest $32M in a competitor's technology platform and deepen R&amp;D collaboration demonstrates competitive self-awareness and a learning orientation. Tennant competes globally with Kärcher and Nilfisk and uses their strengths to push its own innovation agenda, particularly in sustainability and automation.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its 156-year history, Tennant has evolved its business model multiple times — from lumber operations to manual cleaning equipment to powered cleaning machines to sustainable chemistry to AI-enabled autonomous robots [4]. The current AMR transformation with Brain Corp represents a significant strategic evolution. However, these transitions were incremental and market-driven rather than transformative pivots that abandoned the core business. The company has always been in the cleaning/maintenance space.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$32M Brain Corp investment and commitment to a $250M AMR revenue target by 2028 represents a meaningful long-term bet on robotics in a traditional industrial company [2]. This investment was made while the core business faces execution challenges (ERP disruptions, margin compression). However, the ERP implementation failure — which triggered order processing disruptions and a securities investigation — raises questions about leadership's ability to execute courageous decisions competently [1]. Courage without competence is not what Sinek's framework rewards.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Tennant Company at 17x forward adjusted earnings offers a compelling entry into an AI-enabled industrial transformation story backed by 156 years of domain expertise. AMR revenue of $31M (+37% YoY) with a $250M target by 2028 represents a clear path to becoming the autonomous cleaning category leader, accelerated by the April 2026 deepened Brain Corp partnership [1][2]. The core business generates $1.27-1.31B in annual revenue with improving adjusted EBITDA margins (12.2-13.0% guidance), and the $641K in director insider purchases in August 2026 signals confidence in the long-term thesis [3]. The Inspire Impact Score of 75 (ALIGNED) with 18 positive attributions and zero negatives makes TNC one of the highest-scoring faith-aligned names in the industrial sector. The company's physical cleaning equipment business is structurally protected from AI disruption while simultaneously leveraging AI as a growth catalyst.</w:t>
      </w:r>
    </w:p>
    <w:p>
      <w:pPr>
        <w:spacing w:after="120"/>
      </w:pPr>
      <w:r>
        <w:rPr>
          <w:rFonts w:ascii="Calibri" w:hAnsi="Calibri"/>
          <w:b w:val="0"/>
          <w:color w:val="3A4A28"/>
          <w:sz w:val="20"/>
        </w:rPr>
        <w:t>The bear case centers on near-term execution risk and depressed profitability. Q2 2026 diluted EPS collapsed 59% to $0.44 from $1.08, driven by ERP-related order processing inefficiencies, supply chain disruptions, and margin compression [1]. GAAP profit margin of 1.50% and ROE of 3.08% are well below peers and reflect a company in operational transition. The ERP rollout triggered a securities investigation that creates legal overhang and management credibility risk. CEO Huml's 23% Glassdoor approval rating suggests internal execution challenges that may persist [2]. Revenue growth of only 1.7% YoY and organic growth ex-currency of 1.2% show a mature core business with limited top-line momentum outside the AMR segment. The $250M AMR target by 2028 depends heavily on Brain Corp technology — Tennant does not own the core AI autonomy stack. PEG ratio of 2.48 and muted growth suggest limited near-term upside catalyst beyond an operational normalization story that could take several quarters to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AMR revenue trajectory from $31M toward $250M by 2028 target, accelerated by the April 2026 Brain Corp partnership deepening — each quarterly AMR revenue report above 30% growth validates the robotics transformation thesis [1][2]</w:t>
      </w:r>
    </w:p>
    <w:p>
      <w:pPr>
        <w:spacing w:before="40" w:after="40"/>
        <w:ind w:left="283"/>
      </w:pPr>
      <w:r>
        <w:rPr>
          <w:rFonts w:ascii="Calibri" w:hAnsi="Calibri"/>
          <w:b/>
          <w:color w:val="4A6B25"/>
          <w:sz w:val="20"/>
        </w:rPr>
        <w:t xml:space="preserve">2. </w:t>
      </w:r>
      <w:r>
        <w:rPr>
          <w:rFonts w:ascii="Calibri" w:hAnsi="Calibri"/>
          <w:b w:val="0"/>
          <w:color w:val="3A4A28"/>
          <w:sz w:val="20"/>
        </w:rPr>
        <w:t>ERP system stabilization in H2 2026 could unlock trapped backlog, normalize order processing, and restore GAAP profit margins toward the 4-5% range, driving significant EPS recovery from the depressed $0.44 Q2 level [1]</w:t>
      </w:r>
    </w:p>
    <w:p>
      <w:pPr>
        <w:spacing w:before="40" w:after="40"/>
        <w:ind w:left="283"/>
      </w:pPr>
      <w:r>
        <w:rPr>
          <w:rFonts w:ascii="Calibri" w:hAnsi="Calibri"/>
          <w:b/>
          <w:color w:val="4A6B25"/>
          <w:sz w:val="20"/>
        </w:rPr>
        <w:t xml:space="preserve">3. </w:t>
      </w:r>
      <w:r>
        <w:rPr>
          <w:rFonts w:ascii="Calibri" w:hAnsi="Calibri"/>
          <w:b w:val="0"/>
          <w:color w:val="3A4A28"/>
          <w:sz w:val="20"/>
        </w:rPr>
        <w:t>Two directors purchasing $641K in stock on August 12, 2026 at $67-68 per share suggests insiders see current prices as a trough, potentially signaling upcoming positive operational developments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ERP implementation failure continues to disrupt order processing and fulfillment, with associated securities investigation creating legal liability and management distraction that could extend the margin depression beyond 2026 [1]</w:t>
      </w:r>
    </w:p>
    <w:p>
      <w:pPr>
        <w:spacing w:before="40" w:after="40"/>
        <w:ind w:left="283"/>
      </w:pPr>
      <w:r>
        <w:rPr>
          <w:rFonts w:ascii="Calibri" w:hAnsi="Calibri"/>
          <w:b/>
          <w:color w:val="4A6B25"/>
          <w:sz w:val="20"/>
        </w:rPr>
        <w:t xml:space="preserve">2. </w:t>
      </w:r>
      <w:r>
        <w:rPr>
          <w:rFonts w:ascii="Calibri" w:hAnsi="Calibri"/>
          <w:b w:val="0"/>
          <w:color w:val="3A4A28"/>
          <w:sz w:val="20"/>
        </w:rPr>
        <w:t>Core business organic growth of only 1.2% ex-currency indicates a mature cleaning equipment market with limited pricing power, making the $250M AMR target by 2028 critical to the growth story — any delay in AMR adoption would leave Tennant as a slow-growth industrial [1]</w:t>
      </w:r>
    </w:p>
    <w:p>
      <w:pPr>
        <w:spacing w:before="40" w:after="40"/>
        <w:ind w:left="283"/>
      </w:pPr>
      <w:r>
        <w:rPr>
          <w:rFonts w:ascii="Calibri" w:hAnsi="Calibri"/>
          <w:b/>
          <w:color w:val="4A6B25"/>
          <w:sz w:val="20"/>
        </w:rPr>
        <w:t xml:space="preserve">3. </w:t>
      </w:r>
      <w:r>
        <w:rPr>
          <w:rFonts w:ascii="Calibri" w:hAnsi="Calibri"/>
          <w:b w:val="0"/>
          <w:color w:val="3A4A28"/>
          <w:sz w:val="20"/>
        </w:rPr>
        <w:t>CEO approval rating of 23% on Glassdoor reflects significant internal dissatisfaction that could lead to talent attrition, operational execution problems, and potential leadership change during a critical transformation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Tennant's core business — manufacturing and selling physical floor cleaning machines for commercial and industrial facilities — is structurally protected from AI disruption [1]. Factories, hospitals, warehouses, airports, and retail stores require physical cleaning that no virtual AI technology can replace. The equipment involves mechanical engineering, chemical formulation, and physical infrastructure that creates deep barriers to AI substitution. AI actually increases demand for Tennant's products: AI-powered facilities (data centers, automated warehouses) still need clean floors. Tennant is also proactively integrating AI through its AMR platform with Brain Corp, positioning itself as the incumbent that captures AI-driven automation rather than being disrupted by it [2]. The primary risk is that new robotics entrants (e.g., companies from the consumer robot space scaling to commercial) could leverage AI to compete, but Tennant's 156-year domain expertise, global service network, and customer relationships create significant switching costs. AI Opportunity (1/1): Tennant generates $31M in quantifiable AMR (autonomous mobile robot) revenue, up 37% YoY, with a $250M target by 2028 [1]. The Brain Corp partnership provides AI navigation and fleet management capabilities embedded in shipping commercial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Tennant Company Q2 2026 Results and Full-Year Guidance — Revenue $324.0M (+1.7%), EPS $0.44, Adjusted EPS $0.83, AMR Revenue $31M (+37%), FY2026 Guidance $1.270-$1.310B, Investors.TennantCo.com, August 2026</w:t>
      </w:r>
    </w:p>
    <w:p>
      <w:pPr>
        <w:spacing w:before="20" w:after="20"/>
        <w:ind w:left="170"/>
      </w:pPr>
      <w:r>
        <w:rPr>
          <w:rFonts w:ascii="Calibri" w:hAnsi="Calibri"/>
          <w:b/>
          <w:color w:val="4A6B25"/>
          <w:sz w:val="15"/>
        </w:rPr>
        <w:t xml:space="preserve">2. </w:t>
      </w:r>
      <w:r>
        <w:rPr>
          <w:rFonts w:ascii="Calibri" w:hAnsi="Calibri"/>
          <w:b w:val="0"/>
          <w:color w:val="3A4A28"/>
          <w:sz w:val="17"/>
        </w:rPr>
        <w:t>Tennant Company and Brain Corp Partnership — $32M Investment, AI-Enabled Robotic Cleaning Innovation, $250M AMR Revenue Target by 2028, BusinessWire/Morningstar, April 2026</w:t>
      </w:r>
    </w:p>
    <w:p>
      <w:pPr>
        <w:spacing w:before="20" w:after="20"/>
        <w:ind w:left="170"/>
      </w:pPr>
      <w:r>
        <w:rPr>
          <w:rFonts w:ascii="Calibri" w:hAnsi="Calibri"/>
          <w:b/>
          <w:color w:val="4A6B25"/>
          <w:sz w:val="15"/>
        </w:rPr>
        <w:t xml:space="preserve">3. </w:t>
      </w:r>
      <w:r>
        <w:rPr>
          <w:rFonts w:ascii="Calibri" w:hAnsi="Calibri"/>
          <w:b w:val="0"/>
          <w:color w:val="3A4A28"/>
          <w:sz w:val="17"/>
        </w:rPr>
        <w:t>Tennant Company Insider Purchases — Director Mulligan $538,720 (8,000 shares at $67.34), Director Morse $102,270 (1,500 shares at $68.18), August 12, 2026, Investing.com</w:t>
      </w:r>
    </w:p>
    <w:p>
      <w:pPr>
        <w:spacing w:before="20" w:after="20"/>
        <w:ind w:left="170"/>
      </w:pPr>
      <w:r>
        <w:rPr>
          <w:rFonts w:ascii="Calibri" w:hAnsi="Calibri"/>
          <w:b/>
          <w:color w:val="4A6B25"/>
          <w:sz w:val="15"/>
        </w:rPr>
        <w:t xml:space="preserve">4. </w:t>
      </w:r>
      <w:r>
        <w:rPr>
          <w:rFonts w:ascii="Calibri" w:hAnsi="Calibri"/>
          <w:b w:val="0"/>
          <w:color w:val="3A4A28"/>
          <w:sz w:val="17"/>
        </w:rPr>
        <w:t>Tennant Company Corporate Website — Mission, 156-Year History (Founded 1870), Product Portfolio,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