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TRX</w:t>
      </w:r>
      <w:r>
        <w:rPr>
          <w:rFonts w:ascii="Calibri" w:hAnsi="Calibri"/>
          <w:b/>
          <w:color w:val="1A2010"/>
          <w:sz w:val="40"/>
        </w:rPr>
        <w:t xml:space="preserve">  TRX Gold Corporation</w:t>
      </w:r>
    </w:p>
    <w:p>
      <w:pPr>
        <w:spacing w:after="120"/>
      </w:pPr>
      <w:r>
        <w:rPr>
          <w:rFonts w:ascii="Calibri" w:hAnsi="Calibri"/>
          <w:b/>
          <w:color w:val="6E8450"/>
          <w:sz w:val="18"/>
        </w:rPr>
        <w:t>GROWTH SLEEVE · 2026-08-24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Tanzania</w:t>
      </w:r>
    </w:p>
    <w:p>
      <w:pPr>
        <w:spacing w:after="80"/>
      </w:pPr>
      <w:r>
        <w:rPr>
          <w:rFonts w:ascii="Calibri" w:hAnsi="Calibri"/>
          <w:b w:val="0"/>
          <w:color w:val="3A4A28"/>
          <w:sz w:val="20"/>
        </w:rPr>
        <w:t>TRX Gold Corporation (formerly Tanzanian Royalty Exploration) is a gold mining company advancing the Buckreef Gold Project in the Geita Region of Tanzania. The company operates an established open pit mine with a 2,000 tonnes per day processing plant and is expanding toward higher capacity with a SAG/ball mill expansion. TRX Gold is a joint venture partner with STAMICO, the Tanzanian government mining entity, and sells gold domestically to the Bank of Tanzania.</w:t>
      </w:r>
    </w:p>
    <w:p>
      <w:r>
        <w:rPr>
          <w:rFonts w:ascii="Calibri" w:hAnsi="Calibri"/>
          <w:b/>
          <w:color w:val="6E8450"/>
          <w:sz w:val="18"/>
        </w:rPr>
        <w:t>1,500 Employees · https://trxgold.com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TRX Gold has continued to scale Buckreef Gold production, with Q4 FY2026 gold poured of 6,597 oz and revenue of $25.1M, up 101% YoY, alongside gross profit up 196% to $14.2M and EBITDA up 200% to $13.2M, driven by both higher throughput and a realized gold price of $3,860/oz versus $2,653/oz a year earlier [1]. FY2026 production guidance of 25,000-30,000 oz has been reaffirmed across multiple quarters, demonstrating consistent operational execution. AI Deployment (0/2): No AI deployment evident; TRX Gold is a small-cap mining operation where AI tools are not material to the business model. Market Share (1/2): TRX Gold remains a growing mid-tier gold producer in Tanzania's Geita Region, operating alongside major miners like AngloGold Ashanti, with a differentiated government partnership through STAMICO and domestic gold sales to the Bank of Tanzania [1]. Product Pipeline (1/2): The SAG/ball mill capacity expansion continues to advance, with self-funded growth emphasized at industry conferences in 2026, though a fully updated PEA with specific new capacity timelines has not yet been finalized [2]. R&amp;D Intensity (1/1): Continued exploration spending appropriate for a junior-to-mid-tier miner focused on resource expansion at Buckreef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TRX Gold's stated purpose of responsible gold mining in Tanzania with community partnership is clear and sector-appropriate, identifying what the company does and for whom — but it is not distinctive among responsible mining peers. The STAMICO partnership and domestic gold sales to Bank of Tanzania add a unique stakeholder dimension. Community Impact (2/2): TRX Gold has maintained nearly two decades of presence in the Geita Region with established community development programs, employment of approximately 1,500 local workers, and a government partnership model that directs economic benefits to Tanzania through domestic gold sales and STAMICO profit-sharing [1][3]. The company continues to describe its operations as guided by 'the highest environmental, social and corporate governance standards' evidenced by long-standing regional relationships [3]. Employee Retention (1/2): CEO Stephen Mullowney has led since December 2020 after a distinguished career at PwC leading the Deals Mining Group, and the leadership team (including SVP Tanzania Khalaf Rashid and CFO Michael Leonard) has remained stable through the production ramp [2]. Insider Buying (0/2): No significant net insider buying identified in public filings for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with PEG excluded (unavailable). The balance sheet remains exceptionally clean with D/E of just 5%. Forward P/E of 13.84 is discounted relative to gold mining peers, reflecting the small-cap and single-asset risk premium. Revenue growth remains explosive — TTM revenue of $115.5M represents 142.1% YoY growth as gold prices surged and production ramped further, with an estimated multi-year revenue CAGR near 68% since FY2022 [4]. However, ROE has moved to roughly -0.7% in the most recent period (from 9.36% in FY2025) and TTM profit margin is -16.67%, reflecting non-cash charges, exploration expense, and share-based compensation that continue to outpace strong operating-level gold sale margins [4]. Average daily volume of 3.80M shares at $1.20 provides approximately $4.6M in daily liquidity, comfortably clearing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TRX Gold shows mixed infinite game characteristics. The company's nearly two-decade presence in Tanzania and community-embedded operating model demonstrate genuine long-term commitment, and the STAMICO government partnership creates stakeholder alignment beyond pure shareholder value. Continued reaffirmation of self-funded growth and capacity expansion plans through 2026 industry conferences shows measured operational evolution. However, the company remains fundamentally a single-asset gold miner dependent on commodity prices and project execution — its 'infinite game' is constrained by the finite nature of its ore body, and the visionary dimension of infinite game leadership is less evident than the operational discipline.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TRX Gold's purpose of responsible gold mining in partnership with the Tanzanian government and local communities is genuine and has been validated by nearly two decades of consistent presence in the Geita Region [3]. The STAMICO partnership and domestic gold sales to Bank of Tanzania create a stakeholder model that extends beyond pure shareholder value. However, the cause is fundamentally about building a mining business, not about advancing a future state that transcends the company's commercial interests.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Stephen Mullowney has provided stable leadership since December 2020, and the broader leadership team has remained consistent through multiple record production quarters in FY2026 [1][2]. However, as a small-cap miner with limited public data on employee satisfaction or organizational culture, there is insufficient evidence to score higher.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TRX Gold's competitive language continues to focus on its own operational milestones — record production, revenue growth, self-funded expansion — without meaningful reference to learning from rivals or acknowledging competitors' strengths [1][2]. As a single-asset junior miner, the competitive frame is project execution against geological constraints rather than market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continued SAG/ball mill capacity expansion and emphasis on 'self-funded growth' articulated at 2026 precious metals conferences represent incremental adaptation and scaling of the existing operation [2]. This is evolutionary rather than transformative — the company has not pivoted its business model, only scaled its single asset.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continued capex commitment to the SAG/ball mill expansion while remaining a sub-$400M market cap company, funded internally rather than through dilutive financing, represents meaningful capital discipline against uncertain gold prices [2]. The STAMICO partnership model, which shares economics with the Tanzanian government, demonstrates willingness to accept lower margins for long-term operational stability and community license.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TRX Gold continues to deliver explosive growth as Buckreef Gold production ramps and gold prices surge. Q4 FY2026 set fresh records with 6,597 oz poured (+36% YoY), $25.1M revenue (+101% YoY), $14.2M gross profit (+196% YoY), and $13.2M EBITDA (+200% YoY) at a realized price of $3,860/oz versus $2,653/oz a year earlier [1]. TTM revenue of $115.5M represents 142.1% YoY growth, and the balance sheet remains clean with minimal debt (D/E ~5%). At a Forward P/E of 13.84 and roughly $392M market cap, the stock offers continued exposure to the production growth trajectory, and management has emphasized a self-funded growth strategy at 2026 industry conferences, avoiding dilutive financing even as capacity expansion continues [2].</w:t>
      </w:r>
    </w:p>
    <w:p>
      <w:pPr>
        <w:spacing w:after="120"/>
      </w:pPr>
      <w:r>
        <w:rPr>
          <w:rFonts w:ascii="Calibri" w:hAnsi="Calibri"/>
          <w:b w:val="0"/>
          <w:color w:val="3A4A28"/>
          <w:sz w:val="20"/>
        </w:rPr>
        <w:t>The bear case reflects the concentration risks inherent in a single-asset junior miner in Tanzania. TTM net income remains negative with a -16.67% profit margin and ROE of roughly -0.67% despite strong operating-level gold sale economics, as exploration expenses, share-based compensation, and non-cash charges continue to weigh on reported profitability [4]. The company is entirely dependent on gold prices — the record results are as much a function of gold near $3,860-4,000+/oz as operational improvement, and any meaningful gold price correction would compress margins rapidly. Tanzania country risk is real, with the STAMICO partnership providing political cover but also creating profit-sharing obligations that limit upside. The historical pump-and-dump allegations from Bonitas Research, while involving prior management, created lasting reputational overhang that may continue to suppress the valuation multiple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self-funded SAG/ball mill capacity expansion, which could meaningfully increase production capacity and further establish TRX Gold as a mid-tier producer without diluting shareholders</w:t>
      </w:r>
    </w:p>
    <w:p>
      <w:pPr>
        <w:spacing w:before="40" w:after="40"/>
        <w:ind w:left="283"/>
      </w:pPr>
      <w:r>
        <w:rPr>
          <w:rFonts w:ascii="Calibri" w:hAnsi="Calibri"/>
          <w:b/>
          <w:color w:val="4A6B25"/>
          <w:sz w:val="20"/>
        </w:rPr>
        <w:t xml:space="preserve">2. </w:t>
      </w:r>
      <w:r>
        <w:rPr>
          <w:rFonts w:ascii="Calibri" w:hAnsi="Calibri"/>
          <w:b w:val="0"/>
          <w:color w:val="3A4A28"/>
          <w:sz w:val="20"/>
        </w:rPr>
        <w:t>Sustained gold price strength above $3,500-4,000/oz driving record margins — the company's all-in sustaining costs remain well below current prices, creating significant operating leverage</w:t>
      </w:r>
    </w:p>
    <w:p>
      <w:pPr>
        <w:spacing w:before="40" w:after="40"/>
        <w:ind w:left="283"/>
      </w:pPr>
      <w:r>
        <w:rPr>
          <w:rFonts w:ascii="Calibri" w:hAnsi="Calibri"/>
          <w:b/>
          <w:color w:val="4A6B25"/>
          <w:sz w:val="20"/>
        </w:rPr>
        <w:t xml:space="preserve">3. </w:t>
      </w:r>
      <w:r>
        <w:rPr>
          <w:rFonts w:ascii="Calibri" w:hAnsi="Calibri"/>
          <w:b w:val="0"/>
          <w:color w:val="3A4A28"/>
          <w:sz w:val="20"/>
        </w:rPr>
        <w:t>FY2026 production guidance of 25,000-30,000 oz reaffirmed across multiple quarters, with Q4 record throughput confirming operational momentum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concentration in Tanzania creates existential risk — any operational disruption, regulatory change, or geological challenge at Buckreef would impact the entire company</w:t>
      </w:r>
    </w:p>
    <w:p>
      <w:pPr>
        <w:spacing w:before="40" w:after="40"/>
        <w:ind w:left="283"/>
      </w:pPr>
      <w:r>
        <w:rPr>
          <w:rFonts w:ascii="Calibri" w:hAnsi="Calibri"/>
          <w:b/>
          <w:color w:val="4A6B25"/>
          <w:sz w:val="20"/>
        </w:rPr>
        <w:t xml:space="preserve">2. </w:t>
      </w:r>
      <w:r>
        <w:rPr>
          <w:rFonts w:ascii="Calibri" w:hAnsi="Calibri"/>
          <w:b w:val="0"/>
          <w:color w:val="3A4A28"/>
          <w:sz w:val="20"/>
        </w:rPr>
        <w:t>Gold price dependency is extreme — current record margins require sustained elevated gold prices, and a meaningful correction would severely compress profitability</w:t>
      </w:r>
    </w:p>
    <w:p>
      <w:pPr>
        <w:spacing w:before="40" w:after="40"/>
        <w:ind w:left="283"/>
      </w:pPr>
      <w:r>
        <w:rPr>
          <w:rFonts w:ascii="Calibri" w:hAnsi="Calibri"/>
          <w:b/>
          <w:color w:val="4A6B25"/>
          <w:sz w:val="20"/>
        </w:rPr>
        <w:t xml:space="preserve">3. </w:t>
      </w:r>
      <w:r>
        <w:rPr>
          <w:rFonts w:ascii="Calibri" w:hAnsi="Calibri"/>
          <w:b w:val="0"/>
          <w:color w:val="3A4A28"/>
          <w:sz w:val="20"/>
        </w:rPr>
        <w:t>Negative ROE and profit margin despite strong revenue growth highlight that non-operating charges (exploration, share-based comp) continue to obscure underlying unit economics, complicating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structurally immune to AI disruption. TRX Gold's core business involves physical extraction of gold from open pit operations in Tanzania, requiring heavy equipment, geological expertise, processing plant infrastructure, and on-the-ground labor that AI cannot substitute [1]. The company's value proposition — ounces of gold pulled from the ground and sold to the Bank of Tanzania — has no digital substitute. AI-driven demand for data center infrastructure increases electricity and semiconductor demand, which indirectly supports commodity demand cycles, and analysts have zero concerns about AI displacement of gold miners. AI Opportunity (1/1): While TRX Gold does not generate AI revenue directly, modern mining operations increasingly use AI and machine learning for geological modeling, ore grade optimization, and processing efficiency; the ongoing capacity expansion could benefit from AI-assisted process optimization, representing a minor but real enablement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TRX Gold Reports Q4 and Year-End 2025/FY2026 Results — Record Revenue $25.1M, 6,597 oz Poured, Realized Price $3,860/oz, TRX Gold Corporation / GlobeNewswire, 2026</w:t>
      </w:r>
    </w:p>
    <w:p>
      <w:pPr>
        <w:spacing w:before="20" w:after="20"/>
        <w:ind w:left="170"/>
      </w:pPr>
      <w:r>
        <w:rPr>
          <w:rFonts w:ascii="Calibri" w:hAnsi="Calibri"/>
          <w:b/>
          <w:color w:val="4A6B25"/>
          <w:sz w:val="15"/>
        </w:rPr>
        <w:t xml:space="preserve">2. </w:t>
      </w:r>
      <w:r>
        <w:rPr>
          <w:rFonts w:ascii="Calibri" w:hAnsi="Calibri"/>
          <w:b w:val="0"/>
          <w:color w:val="3A4A28"/>
          <w:sz w:val="17"/>
        </w:rPr>
        <w:t>TRX Gold GCFF Virtual 2026 Precious Metals Conference (Asia Pacific) — 'Focused on Self-Funded Growth', NAI 500, June 2026</w:t>
      </w:r>
    </w:p>
    <w:p>
      <w:pPr>
        <w:spacing w:before="20" w:after="20"/>
        <w:ind w:left="170"/>
      </w:pPr>
      <w:r>
        <w:rPr>
          <w:rFonts w:ascii="Calibri" w:hAnsi="Calibri"/>
          <w:b/>
          <w:color w:val="4A6B25"/>
          <w:sz w:val="15"/>
        </w:rPr>
        <w:t xml:space="preserve">3. </w:t>
      </w:r>
      <w:r>
        <w:rPr>
          <w:rFonts w:ascii="Calibri" w:hAnsi="Calibri"/>
          <w:b w:val="0"/>
          <w:color w:val="3A4A28"/>
          <w:sz w:val="17"/>
        </w:rPr>
        <w:t>TRX Gold Corporate Website — ESG, Community Programs, Nearly Two-Decade Presence in Geita,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TRX Key Statistics and Financial Ratios,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Silver Law Group — Bonitas Research Pump &amp; Dump Allegations, AgEagle/TRX Historical Coverage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