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TSLX</w:t>
      </w:r>
      <w:r>
        <w:rPr>
          <w:rFonts w:ascii="Calibri" w:hAnsi="Calibri"/>
          <w:b/>
          <w:color w:val="1A2010"/>
          <w:sz w:val="40"/>
        </w:rPr>
        <w:t xml:space="preserve">  Sixth Street Specialty Lending, Inc.</w:t>
      </w:r>
    </w:p>
    <w:p>
      <w:pPr>
        <w:spacing w:after="120"/>
      </w:pPr>
      <w:r>
        <w:rPr>
          <w:rFonts w:ascii="Calibri" w:hAnsi="Calibri"/>
          <w:b/>
          <w:color w:val="6E8450"/>
          <w:sz w:val="18"/>
        </w:rPr>
        <w:t>DIVIDEND SLEEVE · 2026-08-09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Sixth Street Specialty Lending, Inc. is a business development company (BDC) focused on lending to middle-market companies through direct originations of senior secured loans and other credit investments. Externally managed by Sixth Street Partners, the company primarily provides first-lien term loans to U.S. middle-market businesses across diverse industries. IPO'd on NYSE in 2014.</w:t>
      </w:r>
    </w:p>
    <w:p>
      <w:r>
        <w:rPr>
          <w:rFonts w:ascii="Calibri" w:hAnsi="Calibri"/>
          <w:b/>
          <w:color w:val="6E8450"/>
          <w:sz w:val="18"/>
        </w:rPr>
        <w:t>100 Employees · https://www.sixthstreetspecialtylending.com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Sixth Street has evolved its portfolio mix over time, shifting toward larger first-lien positions and selectively entering asset-backed lending, but the core BDC business model of originating secured loans to middle-market companies has remained fundamentally unchanged since the 2014 IPO [1]. The appointment of Robert Stanley as Co-CEO in November 2025 signals succession planning but not strategic transformation. AI Deployment (0/2): No evidence of AI-powered products, services, or quantified AI-driven efficiency gains. Credit underwriting and portfolio management remain primarily human-judgment processes, with no AI tools discussed in earnings calls or stakeholder letters [2]. Market Share (1/2): Sixth Street Partners is a respected middle-market direct lender, and TSLX maintains a strong reputation for credit quality among BDCs, trading at 1.18x book value versus many BDC peers at or below book [3]. However, the direct lending market is highly fragmented with no single dominant player. Product Pipeline (1/2): The company extended its revolver maturity to 2031 and continues to selectively originate, but no new product categories, fund structures, or market expansions have been announced [4]. R&amp;D Intensity (0/1): BDCs do not have traditional R&amp;D programs; competitive advantage derives from deal sourcing networks and credit underwriting quality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Sixth Street's purpose centers on being an 'investor-first' specialty lender that generates attractive risk-adjusted returns through disciplined direct lending [2]. The mission is clear and specific to the company's approach but is fundamentally about financial returns rather than a broader societal purpose. The March 2026 stakeholder letter emphasized navigating volatility through liquidity discipline, which is prudent but commercially oriented. Community Impact (1/2): As a BDC, Sixth Street provides capital to middle-market businesses that may lack access to traditional bank financing, serving a legitimate economic function in capital markets [1]. The parent firm, Sixth Street Partners, is a UN Principles for Responsible Investment signatory, demonstrating ESG commitment at the organizational level. Employee Retention (1/2): The Co-CEO appointment of Robert Stanley alongside Joshua Easterly suggests a thoughtful succession plan, and key team members Ian Simmonds, Craig Hamrah, and Mike Fishman have been with the firm for years, indicating leadership stability [2]. However, as an externally managed BDC with ~100 employees, retention data is limited. Insider Buying (1/2): No specific insider buying data was identified in the research period, though management alignment through co-investment provisions is standard for BDC structures.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TSLX's forward P/E of 10.69 and profit margin of 21.77% score at target levels, reflecting the BDC's attractive valuation and inherent profitability of lending operations [3]. The 5-year revenue CAGR of 9.3% demonstrates solid historical growth. However, Q2 2026 revenue declined 14.9% YoY to $97.84M as lower interest rates compressed net investment income, and TTM ROE of 5.62% is well below the 15% target despite management citing annualized ROE above 10% more recently [1][4]. The payout ratio of 191% on a GAAP basis reflects BDC accounting where distributable earnings differ from GAAP net income — BDCs are required to distribute substantially all taxable income. Consecutive years paid of 12 (since 2014 IPO) scores well. D/E of 124% (1.24x leverage) is typical for a BDC and manageable, though above the 70% target for non-financial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Sixth Street Specialty Lending operates with a disciplined, investor-first philosophy that values credit quality and risk-adjusted returns over growth for growth's sake — an inherently long-term orientation. The thoughtful CEO succession (Co-CEO appointment), extended debt maturities, and conservative underwriting through market cycles demonstrate endurance-oriented thinking. However, BDCs are fundamentally fee-generating vehicles for their external managers, creating structural tension between investor and manager interests.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Sixth Street's purpose of being an investor-first specialty lender is genuine and has been consistently articulated across stakeholder communications, including the March 2026 letter emphasizing liquidity discipline through market volatility [2]. However, 'generating attractive risk-adjusted returns through disciplined lending' is a financial objective, not a Just Cause in Sinek's framework — it describes what the company does, not a vision of a better future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appointment of Robert Stanley alongside Joshua Easterly in November 2025 demonstrates thoughtful succession planning and suggests a collaborative leadership culture [2]. Key team members have long tenure with the Sixth Street platform. However, as an externally managed BDC with ~100 employees, the organization is small and the external management structure means the team primarily serves Sixth Street Partners' interests — the circle of safety is limited to a small investment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March 2026 stakeholder letter explicitly discussed navigating competitive dynamics in the direct lending market constructively, referencing how wider origination spreads during market volatility create opportunities for disciplined lenders [2]. Management frames competition as an environment to be navigated through superior underwriting rather than a war to be won.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TSLX has evolved its portfolio mix over its 12-year history, shifting concentration across sectors and adjusting leverage through market cycles. The decision to exit positions where exits exceeded fundings in Q2 2026 while extending revolver maturity to 2031 shows adaptive capital management [4]. However, the core BDC model of originating senior secured middle-market loans has remained constant — no transformative pivot has occurred or was necessary.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Sixth Street demonstrated discipline through the recent interest rate cycle — maintaining credit quality standards even as competitors loosened underwriting to deploy capital, resulting in lower non-accrual rates than BDC peers. Co-founder Alan Waxman's philosophy that 'crises happen because of liquidity issues, not credit issues' reflects principled long-term thinking [2]. However, the investment decisions are fundamentally return-driven rather than cause-driven.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TSLX offers a compelling income proposition as a well-managed BDC trading at 1.18x book value with a 9.27% dividend yield, supported by a forward P/E of 10.69 and experienced management team anchored by Co-CEOs Joshua Easterly and Robert Stanley [2][3]. The 5-year revenue CAGR of 9.3% demonstrates strong historical growth, and the company's first-lien focus (~90% of portfolio) provides structural downside protection. TTM operating margin of 75.4% reflects the BDC's inherent operating leverage, and the revolver maturity extension to 2031 provides multi-year funding visibility [4]. At $19.10 with a beta of 0.63 and analyst buy consensus with $19.68 price target, TSLX offers defensive income characteristics with credit quality that has consistently outperformed BDC peers.</w:t>
      </w:r>
    </w:p>
    <w:p>
      <w:pPr>
        <w:spacing w:after="120"/>
      </w:pPr>
      <w:r>
        <w:rPr>
          <w:rFonts w:ascii="Calibri" w:hAnsi="Calibri"/>
          <w:b w:val="0"/>
          <w:color w:val="3A4A28"/>
          <w:sz w:val="20"/>
        </w:rPr>
        <w:t>The primary concern is the revenue trajectory — Q2 2026 revenue declined 14.9% YoY to $97.84M as lower interest rates compressed net investment income across the BDC sector, and the base dividend was reduced from $0.49 to $0.42 per share, a 14% cut that signals management expects the lower-rate environment to persist [1]. TTM ROE of 5.62% is well below the 15% target, and while management cites annualized ROE above 10%, the GAAP payout ratio of 191% indicates the current dividend exceeds GAAP earnings — sustainable only because BDC distributable earnings differ from GAAP net income. The externally managed structure creates an inherent conflict of interest, as the external manager (Sixth Street Partners) earns management and incentive fees regardless of stock performance. Credit risk is the existential concern — a recession or credit cycle could drive non-accruals higher, pressuring both NAV and distributable income. The stock's 20.4% decline over the past 52 weeks reflects market skepticism about NII sustainability in a lower-rate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10.69 and 9.27% dividend yield create a compelling income value proposition if interest rates stabilize, with the portfolio's first-lien concentration providing downside protection through a credit cycle</w:t>
      </w:r>
    </w:p>
    <w:p>
      <w:pPr>
        <w:spacing w:before="40" w:after="40"/>
        <w:ind w:left="283"/>
      </w:pPr>
      <w:r>
        <w:rPr>
          <w:rFonts w:ascii="Calibri" w:hAnsi="Calibri"/>
          <w:b/>
          <w:color w:val="4A6B25"/>
          <w:sz w:val="20"/>
        </w:rPr>
        <w:t xml:space="preserve">2. </w:t>
      </w:r>
      <w:r>
        <w:rPr>
          <w:rFonts w:ascii="Calibri" w:hAnsi="Calibri"/>
          <w:b w:val="0"/>
          <w:color w:val="3A4A28"/>
          <w:sz w:val="20"/>
        </w:rPr>
        <w:t>Revolver maturity extended to 2031 and exits exceeding fundings in Q2 suggest disciplined capital management that positions the portfolio for selective deployment at wider spreads</w:t>
      </w:r>
    </w:p>
    <w:p>
      <w:pPr>
        <w:spacing w:before="40" w:after="40"/>
        <w:ind w:left="283"/>
      </w:pPr>
      <w:r>
        <w:rPr>
          <w:rFonts w:ascii="Calibri" w:hAnsi="Calibri"/>
          <w:b/>
          <w:color w:val="4A6B25"/>
          <w:sz w:val="20"/>
        </w:rPr>
        <w:t xml:space="preserve">3. </w:t>
      </w:r>
      <w:r>
        <w:rPr>
          <w:rFonts w:ascii="Calibri" w:hAnsi="Calibri"/>
          <w:b w:val="0"/>
          <w:color w:val="3A4A28"/>
          <w:sz w:val="20"/>
        </w:rPr>
        <w:t>Co-CEO succession structure with Robert Stanley alongside Joshua Easterly ensures leadership continuity and deepens the management bench for the Sixth Street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14.9% YoY in Q2 2026 and base dividend was cut 14% from $0.49 to $0.42 per share, reflecting structural NII compression as interest rates normalize from 2023-2024 peaks</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creates inherent conflicts — Sixth Street Partners earns management and incentive fees regardless of stock price performance, misaligning manager and shareholder interests</w:t>
      </w:r>
    </w:p>
    <w:p>
      <w:pPr>
        <w:spacing w:before="40" w:after="40"/>
        <w:ind w:left="283"/>
      </w:pPr>
      <w:r>
        <w:rPr>
          <w:rFonts w:ascii="Calibri" w:hAnsi="Calibri"/>
          <w:b/>
          <w:color w:val="4A6B25"/>
          <w:sz w:val="20"/>
        </w:rPr>
        <w:t xml:space="preserve">3. </w:t>
      </w:r>
      <w:r>
        <w:rPr>
          <w:rFonts w:ascii="Calibri" w:hAnsi="Calibri"/>
          <w:b w:val="0"/>
          <w:color w:val="3A4A28"/>
          <w:sz w:val="20"/>
        </w:rPr>
        <w:t>Credit cycle risk in middle-market lending — a recession could drive non-accruals higher across the portfolio, pressuring both NAV and distributable income with limited recovery recourse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Direct lending to middle-market companies is substantially protected from AI disruption — credit underwriting requires human judgment on management quality, industry dynamics, and covenant structuring that AI cannot fully replicate [2]. Relationship-based deal sourcing through the Sixth Street network creates a moat. However, AI is increasingly being deployed in credit analysis, loan screening, and portfolio monitoring by competitors, which could erode TSLX's analytical edge over time. More significantly, AI disruption of TSLX's borrower companies could increase credit losses — if middle-market businesses in sectors vulnerable to AI (professional services, media, software) face earnings pressure, TSLX's portfolio credit quality could deteriorate. The BDC industry itself faces competitive pressure from AI-powered lending platforms that could lower origination costs. AI Opportunity (0/1): No evidence of AI-generated revenue. TSLX does not sell AI products or services, and no quantified AI-driven efficiency gains have been reported in its lending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Sixth Street (TSLX) Q2 CY2026 Sales Beat Estimates; Q1 2026 Earnings Miss Coverage, 2026</w:t>
      </w:r>
    </w:p>
    <w:p>
      <w:pPr>
        <w:spacing w:before="20" w:after="20"/>
        <w:ind w:left="170"/>
      </w:pPr>
      <w:r>
        <w:rPr>
          <w:rFonts w:ascii="Calibri" w:hAnsi="Calibri"/>
          <w:b/>
          <w:color w:val="4A6B25"/>
          <w:sz w:val="15"/>
        </w:rPr>
        <w:t xml:space="preserve">2. </w:t>
      </w:r>
      <w:r>
        <w:rPr>
          <w:rFonts w:ascii="Calibri" w:hAnsi="Calibri"/>
          <w:b w:val="0"/>
          <w:color w:val="3A4A28"/>
          <w:sz w:val="17"/>
        </w:rPr>
        <w:t>Business Wire — TSLX Q1 2026 Earnings Release and Co-CEO Appointment; Sixth Street March 2026 Stakeholder Letter</w:t>
      </w:r>
    </w:p>
    <w:p>
      <w:pPr>
        <w:spacing w:before="20" w:after="20"/>
        <w:ind w:left="170"/>
      </w:pPr>
      <w:r>
        <w:rPr>
          <w:rFonts w:ascii="Calibri" w:hAnsi="Calibri"/>
          <w:b/>
          <w:color w:val="4A6B25"/>
          <w:sz w:val="15"/>
        </w:rPr>
        <w:t xml:space="preserve">3. </w:t>
      </w:r>
      <w:r>
        <w:rPr>
          <w:rFonts w:ascii="Calibri" w:hAnsi="Calibri"/>
          <w:b w:val="0"/>
          <w:color w:val="3A4A28"/>
          <w:sz w:val="17"/>
        </w:rPr>
        <w:t>Stock Analysis — TSLX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TradingView — TSLX Q2 2026 Stable Earnings, Higher Leverage, Extended Debt Maturities Summary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