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TTD</w:t>
      </w:r>
      <w:r>
        <w:rPr>
          <w:rFonts w:ascii="Calibri" w:hAnsi="Calibri"/>
          <w:b/>
          <w:color w:val="1A2010"/>
          <w:sz w:val="40"/>
        </w:rPr>
        <w:t xml:space="preserve">  The Trade Desk, Inc.</w:t>
      </w:r>
    </w:p>
    <w:p>
      <w:pPr>
        <w:spacing w:after="120"/>
      </w:pPr>
      <w:r>
        <w:rPr>
          <w:rFonts w:ascii="Calibri" w:hAnsi="Calibri"/>
          <w:b/>
          <w:color w:val="6E8450"/>
          <w:sz w:val="18"/>
        </w:rPr>
        <w:t>GROWTH SLEEVE · 2026-08-16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Advertising Agencies · NASDAQ · United States</w:t>
      </w:r>
    </w:p>
    <w:p>
      <w:pPr>
        <w:spacing w:after="80"/>
      </w:pPr>
      <w:r>
        <w:rPr>
          <w:rFonts w:ascii="Calibri" w:hAnsi="Calibri"/>
          <w:b w:val="0"/>
          <w:color w:val="3A4A28"/>
          <w:sz w:val="20"/>
        </w:rPr>
        <w:t>The Trade Desk, Inc. operates the largest independent demand-side platform (DSP) for programmatic digital advertising, enabling brands and agencies to buy ad inventory across the open internet (connected TV, audio, mobile, display) outside the 'walled gardens' of Google, Meta, and Amazon. Founded and led by CEO Jeff Green, the company has championed the Unified ID 2.0 (UID2) open industry identity standard. Q2 2026 revenue grew just 3% YoY to $715.1M, missing estimates, and Q3 2026 guidance implies a roughly 12% YoY revenue decline, triggering a 21.9% single-day stock decline and leaving shares down more than 60% year-to-date amid concerns about execution and competitive positioning in an increasingly AI-driven advertising landscape.</w:t>
      </w:r>
    </w:p>
    <w:p>
      <w:r>
        <w:rPr>
          <w:rFonts w:ascii="Calibri" w:hAnsi="Calibri"/>
          <w:b/>
          <w:color w:val="6E8450"/>
          <w:sz w:val="18"/>
        </w:rPr>
        <w:t>3,800 Employees · https://www.thetradedesk.com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Trade Desk's Kokai platform overhaul and UID2 identity initiative previously opened new revenue streams and cemented independent-DSP leadership in CTV advertising, but the recent Q2 2026 growth collapse to 3% YoY (from historical 20%+ rates) and guided Q3 revenue decline of ~12% signal a faltering rather than accelerating track record [1]. AI Deployment (2/2): CEO Jeff Green is actively piloting agentic AI workflows — testing AI campaign creation with Anthropic's Claude and piloting autonomous 'Koa' agents with agency Stagwell — framing the DSP itself as an AI product rather than a tool threatened by AI [2]. Market Share (1/2): The Trade Desk remains the largest independent DSP, but a Yahoo Finance headline explicitly asked whether the company's 'agency problem' had become an 'earnings problem,' suggesting real competitive/share pressure alongside the growth deceleration [4]. Product Pipeline (1/2): A next-generation 'Zuma' upgrade to the Kokai platform was teased with more automated, agentic features, but no firm launch date or revenue visibility was disclosed [2]. R&amp;D Intensity (0/1): No R&amp;D-to-revenue percentage relative to ad-tech peers was disclosed in available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Trade Desk's mission to champion a fair, transparent, and independent 'open internet' against the walled gardens of Google, Meta, and Amazon is specific and thoughtful, reflected in the company's development of UID2 as an open industry standard rather than a proprietary lock-in tool, differentiating it meaningfully from ad-tech peers [2]. Community Impact (0/2): No evidence of distinctive charitable giving or community investment programs was found in available research. Employee Retention (0/2): CEO Jeff Green describes people as the company's greatest asset, but no specific tenure or turnover data was identified [2]. Insider Buying (0/2): No evidence of net insider buying following the stock's steep 2026 decline was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17% and ROE of 16.74% both comfortably clear target, scoring 1.0 and 1.0 respectively [4]. TTM 5-year revenue CAGR of 30.67% scores at the 1.0 cap despite the recent slowdown, reflecting years of historical hypergrowth. The most recent quarter's revenue growth of just 3% YoY (Q2 2026) scores only 0.77, capturing the deceleration directly. Forward P/E of 10.79 and PEG of 0.50 both score at the 1.0 cap — the 62.8% year-to-date stock decline has made the stock mechanically cheap even as growth has stalled. TTM profit margin of 14.57% scores 0.73. The result is a still-strong 9/10 driven primarily by balance sheet strength and a valuation reset following the crash; this should not be read as a signal that fundamentals are healthy, since the crash itself is what pushed the valuation multiples into scoring range.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The Trade Desk under founder-CEO Jeff Green has genuinely championed the open internet against the ad-tech walled gardens for over a decade, developing UID2 as an open industry standard rather than a proprietary moat — a real instance of sacrificing potential lock-in for industry benefit. The current growth crisis is the first serious test of whether that purpose-driven strategy can survive a period of real financial pressure and competitive AI disruption, and it is too early to know the outcome.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Trade Desk's mission to keep the internet 'fair and objective' for advertisers by championing the open internet against Google, Meta, and Amazon's walled gardens is genuine and has shaped real strategic decisions, most notably the development of UID2 as an open, non-proprietary identity standard offered to the entire industry rather than monetized exclusively [2]. This cause has not yet been tested through a genuine financial crisis until the current 2026 growth collapse.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cultural red flags were identified and the company is led by its founding CEO with long tenure, but no specific employee tenure or turnover data was found to substantiate exceptional organizational trust, and the severe 2026 stock decline is an untested stress point for internal morale.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Jeff Green frames agentic AI and walled-garden competition as opportunities to improve The Trade Desk's own platform rather than threats to be destroyed, actively piloting AI tools with Anthropic and agency partner Stagwell rather than resisting the shift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sunset of the Kokai interface in favor of a more automated, agentic 'Zuma' platform reflects real adaptation to the AI era, though this is an incremental platform evolution rather than a transformative abandonment of the core DSP business model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and giving away UID2 as an open industry standard, rather than monetizing identity resolution as a proprietary walled-garden feature, represents a genuine instance of prioritizing the broader open-internet cause over maximum near-term capture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Trade Desk's post-crash valuation is mechanically cheap — forward P/E of 10.79x and PEG of 0.50 following a 62.8% year-to-date decline — against a still-strong balance sheet (D/E of 17%, ROE of 16.74%) and a 30.67% five-year revenue CAGR that reflects a decade of genuine platform leadership in independent programmatic advertising [4]. CEO Jeff Green is actively repositioning the DSP as an AI-native product, piloting agentic ad-buying tools with Anthropic's Claude and agency partner Stagwell, and the company's UID2 open identity standard remains a differentiated, purpose-driven asset that Google, Meta, and Amazon's walled gardens cannot easily replicate [2]. A faith-aligned Inspire Impact Score of +42 reflects genuinely strong ESG-adjacent business practices across privacy, data security, and ethical supply chain dimensions.</w:t>
      </w:r>
    </w:p>
    <w:p>
      <w:pPr>
        <w:spacing w:after="120"/>
      </w:pPr>
      <w:r>
        <w:rPr>
          <w:rFonts w:ascii="Calibri" w:hAnsi="Calibri"/>
          <w:b w:val="0"/>
          <w:color w:val="3A4A28"/>
          <w:sz w:val="20"/>
        </w:rPr>
        <w:t>The bear case is now the dominant narrative: Q2 2026 revenue grew just 3% YoY to $715.1M against a $752.1M consensus, and Q3 guidance of $650M at the midpoint implies a roughly 12% YoY revenue decline — a stunning reversal for a company that grew 20%+ for most of its public history [1][4]. Management attributes the miss to macro headwinds in CPG and auto categories plus 'execution factors,' and a Yahoo Finance analysis explicitly frames this as an 'agency problem' becoming an 'earnings problem,' suggesting share loss rather than pure market softness [1][4]. The AI Resilience score of just 4/10 (HIGH RISK) reflects genuine analyst concern that AI-native ad-buying tools — both inside walled gardens and from emerging agentic platforms — could structurally erode the independent DSP's value proposition, a risk the current growth collapse makes concrete rather than theoretical. Until The Trade Desk demonstrates several consecutive quarters of stabilized growth, the WATCH rating reflects the genuine uncertainty about whether this is a temporary execution stumble or the start of structural AI-driven disintermediation.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rollout of the next-generation 'Zuma' Kokai platform upgrade with deeper agentic AI automation, which could restore advertiser confidence and reaccelerate growth if it addresses the execution issues cited in Q2 2026 results [2]</w:t>
      </w:r>
    </w:p>
    <w:p>
      <w:pPr>
        <w:spacing w:before="40" w:after="40"/>
        <w:ind w:left="283"/>
      </w:pPr>
      <w:r>
        <w:rPr>
          <w:rFonts w:ascii="Calibri" w:hAnsi="Calibri"/>
          <w:b/>
          <w:color w:val="4A6B25"/>
          <w:sz w:val="20"/>
        </w:rPr>
        <w:t xml:space="preserve">2. </w:t>
      </w:r>
      <w:r>
        <w:rPr>
          <w:rFonts w:ascii="Calibri" w:hAnsi="Calibri"/>
          <w:b w:val="0"/>
          <w:color w:val="3A4A28"/>
          <w:sz w:val="20"/>
        </w:rPr>
        <w:t>Stabilization or reacceleration of CTV, audio, and international revenue growth, the segments management cited as continued strength even amid the broader Q2 2026 miss [1]</w:t>
      </w:r>
    </w:p>
    <w:p>
      <w:pPr>
        <w:spacing w:before="40" w:after="40"/>
        <w:ind w:left="283"/>
      </w:pPr>
      <w:r>
        <w:rPr>
          <w:rFonts w:ascii="Calibri" w:hAnsi="Calibri"/>
          <w:b/>
          <w:color w:val="4A6B25"/>
          <w:sz w:val="20"/>
        </w:rPr>
        <w:t xml:space="preserve">3. </w:t>
      </w:r>
      <w:r>
        <w:rPr>
          <w:rFonts w:ascii="Calibri" w:hAnsi="Calibri"/>
          <w:b w:val="0"/>
          <w:color w:val="3A4A28"/>
          <w:sz w:val="20"/>
        </w:rPr>
        <w:t>Expanded agentic AI partnerships (Anthropic Claude campaign creation, Stagwell Koa agent pilots) proving out CEO Jeff Green's thesis that the DSP model 'is AI' rather than a business AI threatens to disintermediate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disintermediation risk: AI-native ad-buying tools inside Google, Amazon, and Meta's walled gardens, plus emerging agentic ad-buying platforms, could bypass independent DSPs entirely — a risk the 21.9% single-day crash and guided 12% Q3 revenue decline make concrete rather than theoretical [1][4]</w:t>
      </w:r>
    </w:p>
    <w:p>
      <w:pPr>
        <w:spacing w:before="40" w:after="40"/>
        <w:ind w:left="283"/>
      </w:pPr>
      <w:r>
        <w:rPr>
          <w:rFonts w:ascii="Calibri" w:hAnsi="Calibri"/>
          <w:b/>
          <w:color w:val="4A6B25"/>
          <w:sz w:val="20"/>
        </w:rPr>
        <w:t xml:space="preserve">2. </w:t>
      </w:r>
      <w:r>
        <w:rPr>
          <w:rFonts w:ascii="Calibri" w:hAnsi="Calibri"/>
          <w:b w:val="0"/>
          <w:color w:val="3A4A28"/>
          <w:sz w:val="20"/>
        </w:rPr>
        <w:t>Execution and 'agency problem' risk cited explicitly by financial media, suggesting the growth deceleration reflects competitive share loss and internal execution issues rather than only macro headwinds [1][4]</w:t>
      </w:r>
    </w:p>
    <w:p>
      <w:pPr>
        <w:spacing w:before="40" w:after="40"/>
        <w:ind w:left="283"/>
      </w:pPr>
      <w:r>
        <w:rPr>
          <w:rFonts w:ascii="Calibri" w:hAnsi="Calibri"/>
          <w:b/>
          <w:color w:val="4A6B25"/>
          <w:sz w:val="20"/>
        </w:rPr>
        <w:t xml:space="preserve">3. </w:t>
      </w:r>
      <w:r>
        <w:rPr>
          <w:rFonts w:ascii="Calibri" w:hAnsi="Calibri"/>
          <w:b w:val="0"/>
          <w:color w:val="3A4A28"/>
          <w:sz w:val="20"/>
        </w:rPr>
        <w:t>Extreme stock volatility (down 62.8% year-to-date, trading at six times average daily volume on the earnings-crash day) creates elevated uncertainty for any near-term valuation thesis regardless of the mechanically cheap forward multiples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CEO Jeff Green argues the DSP model 'is AI' and cannot be disrupted by it, but the market's reaction to Q2 2026 results — a 21.9% single-day crash on 3% revenue growth and guided decline — signals real analyst concern that AI-native ad-buying tools inside walled gardens (Google Performance Max, Amazon's AI ad stack) and emerging agentic AI ad-buying platforms could bypass independent DSPs entirely [1][4]. The company is adapting via Kokai/Zuma and agentic pilots with Anthropic and Stagwell, but the outcome is genuinely uncertain, and the severe growth deceleration undercuts the 'immune' thesis management has publicly advanced [2]. AI Opportunity (0/1): No specific AI-attributable revenue figure was disclosed; AI capability is embedded throughout the platform but not separately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Trade Desk Q2 2026 Earnings Call Transcript and Q3 2026 Guidance — Motley Fool, StockStory, Barchart, August 2026</w:t>
      </w:r>
    </w:p>
    <w:p>
      <w:pPr>
        <w:spacing w:before="20" w:after="20"/>
        <w:ind w:left="170"/>
      </w:pPr>
      <w:r>
        <w:rPr>
          <w:rFonts w:ascii="Calibri" w:hAnsi="Calibri"/>
          <w:b/>
          <w:color w:val="4A6B25"/>
          <w:sz w:val="15"/>
        </w:rPr>
        <w:t xml:space="preserve">2. </w:t>
      </w:r>
      <w:r>
        <w:rPr>
          <w:rFonts w:ascii="Calibri" w:hAnsi="Calibri"/>
          <w:b w:val="0"/>
          <w:color w:val="3A4A28"/>
          <w:sz w:val="17"/>
        </w:rPr>
        <w:t>The Trade Desk CEO Jeff Green on AI Strategy, Kokai/Zuma Platform, UID2 — Adweek, Clay, thetradedesk.com, 2026</w:t>
      </w:r>
    </w:p>
    <w:p>
      <w:pPr>
        <w:spacing w:before="20" w:after="20"/>
        <w:ind w:left="170"/>
      </w:pPr>
      <w:r>
        <w:rPr>
          <w:rFonts w:ascii="Calibri" w:hAnsi="Calibri"/>
          <w:b/>
          <w:color w:val="4A6B25"/>
          <w:sz w:val="15"/>
        </w:rPr>
        <w:t xml:space="preserve">3. </w:t>
      </w:r>
      <w:r>
        <w:rPr>
          <w:rFonts w:ascii="Calibri" w:hAnsi="Calibri"/>
          <w:b w:val="0"/>
          <w:color w:val="3A4A28"/>
          <w:sz w:val="17"/>
        </w:rPr>
        <w:t>The Trade Desk ESG Score and Sustainability Data — Morningstar, AltIndex, S&amp;P Global,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Yahoo Finance — TTD Key Statistics: Forward P/E 10.79x, ROE 16.74%, PEG 0.50, D/E 17%, Stock Price $13.80,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