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UPXI</w:t>
      </w:r>
      <w:r>
        <w:rPr>
          <w:rFonts w:ascii="Calibri" w:hAnsi="Calibri"/>
          <w:b/>
          <w:color w:val="1A2010"/>
          <w:sz w:val="40"/>
        </w:rPr>
        <w:t xml:space="preserve">  Upexi, Inc.</w:t>
      </w:r>
    </w:p>
    <w:p>
      <w:pPr>
        <w:spacing w:after="120"/>
      </w:pPr>
      <w:r>
        <w:rPr>
          <w:rFonts w:ascii="Calibri" w:hAnsi="Calibri"/>
          <w:b/>
          <w:color w:val="6E8450"/>
          <w:sz w:val="18"/>
        </w:rPr>
        <w:t>GROWTH SLEEVE · 2026-08-27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Upexi, Inc. is a Nasdaq-listed Solana-focused digital asset treasury company that also operates residual consumer product brands. The company pivoted in 2025 from consumer brand aggregation to a cryptocurrency treasury model, accumulating over 2.17 million SOL tokens (~$447M treasury value at peak) primarily through a $100M GSR-anchored investment, making it the 4th largest public SOL treasury holder [2]. Led by CEO Allan Marshall since 2019. Q3 FY2026 revenue was $4.6M with a net loss of $109.3M, driven by $92.3M in unrealized digital asset losses [1]. The GSR asset management agreement was terminated in December 2025 amid contractual disputes [3]. Market cap approximately $55M.</w:t>
      </w:r>
    </w:p>
    <w:p>
      <w:r>
        <w:rPr>
          <w:rFonts w:ascii="Calibri" w:hAnsi="Calibri"/>
          <w:b/>
          <w:color w:val="6E8450"/>
          <w:sz w:val="18"/>
        </w:rPr>
        <w:t>50 Employees · https://www.upexi.com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Upexi executed a dramatic strategic pivot in 2025, transforming from a consumer brand aggregator into a Solana-focused treasury company — raising $100M from GSR and later filing for a $1B capital raise [2]. This represents a real business model transformation, though it is financial repositioning (buying and holding tokens) rather than product innovation, and the $109M Q3 net loss and GSR termination raise sustainability questions [1][3]. AI Deployment (0/2): No AI products shipping or AI-driven cost savings reported. The planned Alpha Exchange platform with AI-powered analytics has not launched and lacks a confirmed timeline [4]. Market Share (0/2): Upexi holds the 4th largest public SOL treasury, but 'market share' in holding cryptocurrency is not a meaningful competitive metric — any entity can purchase Solana without barriers [2]. Product Pipeline (1/2): The Solana staking model generates recurring yield income ($3.5M in digital asset revenue in Q3 FY2026), and the Blueprint staking partnership provides some forward visibility, though Alpha Exchange remains delayed [1][4]. R&amp;D Intensity (0/1): Minimal R&amp;D investment. The company's primary activity is purchasing and staking Solana tokens, which does not constitute research or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Upexi describes itself as 'the leading Solana-focused treasury company, purpose-built to help institutions capture upside in blockchain networks' — a financial objective rather than a genuine purpose statement [4]. This is interchangeable with any crypto treasury firm and articulates what the company does (hold Solana) without explaining why it exists beyond generating returns. Community Impact (0/2): No evidence of charitable programs, foundation, or community investment. The company's persistent losses and small size leave no resources for philanthropy. Employee Retention (0/2): No employee retention data available for this approximately 50-person company. CEO Allan Marshall has led since 2019, providing leadership continuity through multiple pivots [4]. Insider Buying (0/2): No evidence of net insider buying by executives in the last 12 months. The $36M convertible note at $2.39/share significantly dilutes existing shareholders against a $0.75 stock price, and the GSR dispute (terminated December 2025) creates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check: $0.75 x 2.46M avg daily volume = $1.85M daily dollar volume, clearing the $1M floor [5]. Core metrics: D/E of 95% scores (300-95)/(300-70) = 0.89; Revenue Growth YoY of 43.8% scores 1.0 (capped); ROE is deeply negative from recent $109M quarterly losses, scoring 0.0 with 2x weight; Profit Margin of -2,375% (Q3 net loss of $109.3M on $4.6M revenue) scores 0.0 [1]. Forward P/E, PEG, and 5yr Revenue CAGR are unavailable and excluded. Growth stock scoring: weighted sum (1x0.89 + 2x0.0 + 1x1.0 + 1x0.0) = 1.89 / max 5.0 = 3.78, rounded to 4. Note: this score reflects extreme earnings volatility from crypto holdings — a period of SOL appreciation would produce dramatically different ROE and profit margin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Upexi is a quintessential finite player in Sinek's framework. The company has pivoted its entire business model three times in five years — from consumer brands to eCommerce aggregation to Solana treasury — chasing whatever asset class is trending. There is no enduring Just Cause beyond generating returns on speculative assets. The GSR dispute and serial pivots signal an organization optimizing for short-term market opportunities rather than building long-term capability [1][3].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Upexi exists to 'capture upside in blockchain networks' for institutions — a financial objective, not a vision of a better future [4]. The company has changed its core business model from consumer products to eCommerce aggregation to crypto treasury in rapid succession, demonstrating no enduring purpose. Sinek would identify this as a textbook finite player — optimizing for the current opportunity rather than building toward something that outlasts any single market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Allan Marshall has maintained leadership since 2019, providing continuity through the company's multiple pivots. The appointment of Brian Rudick as CSO and Arthur Hayes to the advisory committee brought institutional expertise for the crypto strategy [4]. However, the GSR asset management termination over contractual disputes (December 2025) and the company's ~50-person team navigating radical business model changes create inherent organizational instability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Upexi acknowledging competitors' strengths or using competitive dynamics for self-improvement. The company positions itself as the 'leading Solana-focused treasury company' without referencing learning from MicroStrategy's Bitcoin treasury model or other crypto treasury firms [2][4].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Upexi demonstrated willingness to abandon its legacy consumer brands business for the Solana treasury model, raising $100M to fund the transformation [2]. This qualifies as real strategic flexibility. However, the pivot appears driven by speculative market opportunity (Solana price appreciation and GSR investment offer) rather than service to a coherent Just Cause. Sinek distinguishes between strategic flexibility in service of purpose and reactive pivoting in pursuit of trends — Upexi falls into the latter category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Upexi's pivot to Solana treasury was a bold financial bet, but Sinek's courage requires sacrificing short-term results for long-term capability aligned with a Just Cause. The company has chased short-term opportunities across consumer products, eCommerce, and now crypto without demonstrating willingness to invest in capabilities that build enduring value [1]. The $109M quarterly loss and GSR dispute suggest speculative risk-taking rather than courageous long-term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Upexi provides leveraged public-market exposure to Solana through its 2.17M+ SOL treasury ($447M at peak valuation), generating $3.5M in quarterly digital asset staking revenue and growing Q3 revenue 43.8% YoY to $4.6M [1][2]. The company filed for a $1B capital raise to expand SOL holdings and partnered with Blueprint for institutional staking infrastructure [4]. D/E of 95% is moderate relative to the treasury's notional value, and the stock at $0.75 represents a significant discount to net asset value if Solana prices hold or appreciate. The Inspire Impact Score of 54 (ALIGNED) provides positive faith-based investor positioning despite the speculative business model.</w:t>
      </w:r>
    </w:p>
    <w:p>
      <w:pPr>
        <w:spacing w:after="120"/>
      </w:pPr>
      <w:r>
        <w:rPr>
          <w:rFonts w:ascii="Calibri" w:hAnsi="Calibri"/>
          <w:b w:val="0"/>
          <w:color w:val="3A4A28"/>
          <w:sz w:val="20"/>
        </w:rPr>
        <w:t>The bear case is overwhelming: Upexi recorded a $109.3M net loss in Q3 FY2026 alone, driven primarily by $92.3M in unrealized digital asset losses, and the company generates only $4.6M quarterly operating revenue — a micro-cap with extreme single-asset concentration risk [1]. The GSR asset management agreement was terminated amid contractual disputes, creating governance uncertainty [3]. There is no competitive moat — any investor can replicate Upexi's strategy by purchasing Solana directly without corporate overhead, management fees, or dilution risk from the $36M convertible note at $2.39/share. Three business model pivots in five years demonstrate zero operational durability. ROE is deeply negative, profit margin is -2,375%, and the $55M market cap provides no margin of safety against further SOL depreciation [5]. The company has essentially become a leveraged Solana bet wrapped in a public equity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Solana price appreciation would directly benefit the 2.17M+ SOL treasury and reverse the unrealized losses that drove the $109M Q3 net loss, with each $1 SOL increase adding ~$2.17M to treasury value [2]</w:t>
      </w:r>
    </w:p>
    <w:p>
      <w:pPr>
        <w:spacing w:before="40" w:after="40"/>
        <w:ind w:left="283"/>
      </w:pPr>
      <w:r>
        <w:rPr>
          <w:rFonts w:ascii="Calibri" w:hAnsi="Calibri"/>
          <w:b/>
          <w:color w:val="4A6B25"/>
          <w:sz w:val="20"/>
        </w:rPr>
        <w:t xml:space="preserve">2. </w:t>
      </w:r>
      <w:r>
        <w:rPr>
          <w:rFonts w:ascii="Calibri" w:hAnsi="Calibri"/>
          <w:b w:val="0"/>
          <w:color w:val="3A4A28"/>
          <w:sz w:val="20"/>
        </w:rPr>
        <w:t>Blueprint staking partnership and expanded staking infrastructure could increase digital asset yield income beyond the current $3.5M quarterly run rate [4]</w:t>
      </w:r>
    </w:p>
    <w:p>
      <w:pPr>
        <w:spacing w:before="40" w:after="40"/>
        <w:ind w:left="283"/>
      </w:pPr>
      <w:r>
        <w:rPr>
          <w:rFonts w:ascii="Calibri" w:hAnsi="Calibri"/>
          <w:b/>
          <w:color w:val="4A6B25"/>
          <w:sz w:val="20"/>
        </w:rPr>
        <w:t xml:space="preserve">3. </w:t>
      </w:r>
      <w:r>
        <w:rPr>
          <w:rFonts w:ascii="Calibri" w:hAnsi="Calibri"/>
          <w:b w:val="0"/>
          <w:color w:val="3A4A28"/>
          <w:sz w:val="20"/>
        </w:rPr>
        <w:t>Alpha Exchange platform launch with AI-powered analytics could provide a genuine product differentiation beyond passive token accumulation, though timeline remains uncertain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single-asset concentration risk in Solana — a sustained SOL price decline would produce further massive unrealized losses and could threaten solvency given the $55M market cap versus hundreds of millions in cumulative losses [1][2]</w:t>
      </w:r>
    </w:p>
    <w:p>
      <w:pPr>
        <w:spacing w:before="40" w:after="40"/>
        <w:ind w:left="283"/>
      </w:pPr>
      <w:r>
        <w:rPr>
          <w:rFonts w:ascii="Calibri" w:hAnsi="Calibri"/>
          <w:b/>
          <w:color w:val="4A6B25"/>
          <w:sz w:val="20"/>
        </w:rPr>
        <w:t xml:space="preserve">2. </w:t>
      </w:r>
      <w:r>
        <w:rPr>
          <w:rFonts w:ascii="Calibri" w:hAnsi="Calibri"/>
          <w:b w:val="0"/>
          <w:color w:val="3A4A28"/>
          <w:sz w:val="20"/>
        </w:rPr>
        <w:t>No competitive moat: Upexi's strategy of holding and staking Solana is freely replicable by any investor without corporate overhead, dilution, or governance risk from disputes like the GSR termination [3]</w:t>
      </w:r>
    </w:p>
    <w:p>
      <w:pPr>
        <w:spacing w:before="40" w:after="40"/>
        <w:ind w:left="283"/>
      </w:pPr>
      <w:r>
        <w:rPr>
          <w:rFonts w:ascii="Calibri" w:hAnsi="Calibri"/>
          <w:b/>
          <w:color w:val="4A6B25"/>
          <w:sz w:val="20"/>
        </w:rPr>
        <w:t xml:space="preserve">3. </w:t>
      </w:r>
      <w:r>
        <w:rPr>
          <w:rFonts w:ascii="Calibri" w:hAnsi="Calibri"/>
          <w:b w:val="0"/>
          <w:color w:val="3A4A28"/>
          <w:sz w:val="20"/>
        </w:rPr>
        <w:t>Three business model pivots in five years (consumer brands to eCommerce to crypto treasury) with persistent losses demonstrate no operational durability, and management could pivot again if crypto sentiment deteriorates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Upexi's core business — holding and staking Solana tokens — is a financial activity that AI cannot directly substitute. Blockchain validation, staking economics, and crypto custody involve technical infrastructure immune to AI displacement [2]. The company's treasury operations require no human-generated content or service delivery that AI could replace. However, the business has no competitive moat that AI strengthens — holding cryptocurrency requires no proprietary capability. The residual consumer brands business faces moderate AI disruption risk from AI-powered eCommerce competitors and automated product sourcing. AI Opportunity (0/1): No AI-generated revenue. The planned Alpha Exchange with AI-powered analytics has not launched and generates no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Upexi Q3 FY2026 Results — Revenue $4.6M (+43.8% YoY), Net Loss $109.3M (incl. $92.3M unrealized SOL losses), 189K SOL held, Digital Asset Revenue $3.5M, StockTitan/IR, May 2026</w:t>
      </w:r>
    </w:p>
    <w:p>
      <w:pPr>
        <w:spacing w:before="20" w:after="20"/>
        <w:ind w:left="170"/>
      </w:pPr>
      <w:r>
        <w:rPr>
          <w:rFonts w:ascii="Calibri" w:hAnsi="Calibri"/>
          <w:b/>
          <w:color w:val="4A6B25"/>
          <w:sz w:val="15"/>
        </w:rPr>
        <w:t xml:space="preserve">2. </w:t>
      </w:r>
      <w:r>
        <w:rPr>
          <w:rFonts w:ascii="Calibri" w:hAnsi="Calibri"/>
          <w:b w:val="0"/>
          <w:color w:val="3A4A28"/>
          <w:sz w:val="17"/>
        </w:rPr>
        <w:t>Upexi Solana Treasury — 2.17M+ SOL tokens ($447M peak treasury), GSR $100M investment, 4th largest public SOL treasury, $1B capital raise filing, Yahoo Finance/CoinDesk, 2025-2026</w:t>
      </w:r>
    </w:p>
    <w:p>
      <w:pPr>
        <w:spacing w:before="20" w:after="20"/>
        <w:ind w:left="170"/>
      </w:pPr>
      <w:r>
        <w:rPr>
          <w:rFonts w:ascii="Calibri" w:hAnsi="Calibri"/>
          <w:b/>
          <w:color w:val="4A6B25"/>
          <w:sz w:val="15"/>
        </w:rPr>
        <w:t xml:space="preserve">3. </w:t>
      </w:r>
      <w:r>
        <w:rPr>
          <w:rFonts w:ascii="Calibri" w:hAnsi="Calibri"/>
          <w:b w:val="0"/>
          <w:color w:val="3A4A28"/>
          <w:sz w:val="17"/>
        </w:rPr>
        <w:t>Upexi GSR Dispute — Terminated asset management agreement with GSR Strategies over alleged contractual breaches, effective December 2025, TheStreet Crypto</w:t>
      </w:r>
    </w:p>
    <w:p>
      <w:pPr>
        <w:spacing w:before="20" w:after="20"/>
        <w:ind w:left="170"/>
      </w:pPr>
      <w:r>
        <w:rPr>
          <w:rFonts w:ascii="Calibri" w:hAnsi="Calibri"/>
          <w:b/>
          <w:color w:val="4A6B25"/>
          <w:sz w:val="15"/>
        </w:rPr>
        <w:t xml:space="preserve">4. </w:t>
      </w:r>
      <w:r>
        <w:rPr>
          <w:rFonts w:ascii="Calibri" w:hAnsi="Calibri"/>
          <w:b w:val="0"/>
          <w:color w:val="3A4A28"/>
          <w:sz w:val="17"/>
        </w:rPr>
        <w:t>Upexi Corporate — CEO Allan Marshall, Alpha Exchange AI platform planned, Blueprint staking partnership, Arthur Hayes advisory, upexi.com/IR,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UPXI Key Statistics: D/E 95%, Stock Price $0.75, Market Cap ~$55M, Avg Volume 2.46M,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