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USB</w:t>
      </w:r>
      <w:r>
        <w:rPr>
          <w:rFonts w:ascii="Calibri" w:hAnsi="Calibri"/>
          <w:b/>
          <w:color w:val="1A2010"/>
          <w:sz w:val="40"/>
        </w:rPr>
        <w:t xml:space="preserve">  U.S. Bancorp</w:t>
      </w:r>
    </w:p>
    <w:p>
      <w:pPr>
        <w:spacing w:after="120"/>
      </w:pPr>
      <w:r>
        <w:rPr>
          <w:rFonts w:ascii="Calibri" w:hAnsi="Calibri"/>
          <w:b/>
          <w:color w:val="6E8450"/>
          <w:sz w:val="18"/>
        </w:rPr>
        <w:t>DIVIDEND SLEEVE · 2026-08-21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U.S. Bancorp is the parent company of U.S. Bank, the fifth-largest commercial bank in the United States with $680B+ in assets. The company provides a diversified mix of consumer and commercial banking, payments, wealth management, and corporate trust services across 26 states. Under new CEO Gunjan Kedia (first woman to lead a top-5 US bank, elevated April 2025), USB posted record Q2 2026 revenue of $7.71B (+10.1% YoY) with adjusted EPS of $1.35 (+22%), NII of $4.4B (+7.5%), and fee income up 13.2%, prompting a full-year guidance raise to 7-9% revenue growth.</w:t>
      </w:r>
    </w:p>
    <w:p>
      <w:r>
        <w:rPr>
          <w:rFonts w:ascii="Calibri" w:hAnsi="Calibri"/>
          <w:b/>
          <w:color w:val="6E8450"/>
          <w:sz w:val="18"/>
        </w:rPr>
        <w:t>77,000 Employees · https://www.usbank.com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USB completed the $8B MUFG Union Bank acquisition in 2022, adding $100B+ in assets and West Coast market access, but has not launched transformative new products or business model pivots in the last five years — the core business remains traditional commercial and consumer banking with a strong payments franchise [1]. Q2 2026 fee income growth of 13.2% YoY demonstrates strong execution within existing lines. AI Deployment (1/2): USB invested $2.6B in technology in 2025 and deployed AI-powered cash forecasting tools for commercial clients, with 83% of customers using digital channels. The company operates an AI Center of Excellence with a 'measure twice, cut once' philosophy that emphasizes governance over speed [5]. No specific AI revenue figures disclosed. Market Share (1/2): USB is the fifth-largest U.S. commercial bank with meaningful payments market share, but it is not the category leader or fastest share gainer — larger peers JPM, BAC, and WFC dominate across segments [1]. Product Pipeline (1/2): The Amazon small business lending partnership launched in Q3 2026 with projected $75-85M quarterly revenue contribution, representing a specific embedded finance product with revenue visibility [1][5]. R&amp;D Intensity (1/1): $2.6B annual technology investment is above-average for regional banks, reflecting top-quartile spending relative to asset size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 Bank's purpose — 'We invest our hearts and minds to power human potential' — is clear and identifies the company's role in empowering customers and communities, but reads as polished corporate language that could apply to most financial services firms and does not articulate a distinctive deeper purpose [3]. Community Impact (2/2): U.S. Bank has committed $100B+ in community development lending and investments, partnered with GRID Alternatives since 2010 to bring solar energy to underserved communities, and maintains the U.S. Bank Foundation with specific dollar commitments to affordable housing, economic development, and financial literacy programs [4]. This represents significant, distinctive community investment with measurable impact. Employee Retention (1/2): USB has maintained stable leadership with a well-planned CEO succession from Andy Cecere to Gunjan Kedia in April 2025. Cecere remains as executive chairman. The company is known for promoting from within (Kedia joined in 2016 and rose to President before CEO), though no specific voluntary turnover or average tenure data is publicly available [2]. Insider Buying (1/2): CEO Kedia's compensation is heavily equity-based, and the leadership team maintains significant equity stakes. No notable net open-market insider buying was identified in the last 12 months, though equity-based alignment is substantial.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with D/E excluded (not directly applicable for bank holding companies whose leverage is regulatory-driven). Q2 2026 delivered record net revenue of $7.71B, up 10.1% YoY, with NII of $4.4B (+7.5%) and fee income up 13.2%, prompting a guidance raise to 7-9% full-year revenue growth [1]. Forward P/E of 11.03x scores perfectly against the 20x target. Profit margin of 28.7% exceeds the 20% target. ROE of 11.72% is below the 15% target but improving with NIM expansion to 2.79% from 2.66% and management guiding toward 3% NIM by 2027 [1]. Dividend profile is strong: 40+ consecutive years of payments (2x weight), 16 consecutive years of growth, $2.08 annual dividend yielding 3.86%, and 44% payout ratio near the 40% target. The main drag is 5-year dividend growth CAGR of approximately 4.4% (2x weight), below the 6% target, reflecting conservative payout increases during the Union Bank integration period. The stock clears the liquidity floor easily at $563M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 Bancorp under the Cecere-to-Kedia transition demonstrates measured, institutional long-term thinking rather than quarterly optimization. The 40+ year dividend track record, deliberate succession planning (Kedia groomed from 2016 to CEO in 2025), and $100B+ community investment reflect genuine staying power. However, the company lacks a distinctive Just Cause beyond being a well-run bank — the purpose statement is corporate boilerplate, and strategic decisions optimize for efficiency ratios and earnings growth rather than advancing a cause. The Amazon partnership and $2.6B technology investment show incremental evolution, not transformative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USB's purpose — 'We invest our hearts and minds to power human potential' — is a corporate purpose statement, not a Just Cause in Sinek's framework [3]. It does not describe a future state so appealing that people would sacrifice to advance it. The purpose is interchangeable with most large banks and does not visibly shape strategic decisions. Leadership references operational excellence, efficiency ratios, and 'industry-leading returns' rather than a cause that transcends quarterly performance. The $100B+ community lending commitment is significant but operationally motivated.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USB's deliberate CEO succession — Gunjan Kedia elevated from President to CEO in April 2025 after nine years at the company, with Andy Cecere remaining as executive chairman — signals organizational stability and trust in internal leadership development [2]. USB's leadership culture signals 'trying new things is good' and 'we understand some things will fail,' suggesting psychological safety around innovation. However, the post-Union Bank integration involved significant workforce restructuring, and no specific evidence of exceptional employee empowerment metrics or voluntary turnover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USB's competitive positioning explicitly acknowledges that JPMorgan, Bank of America, and Wells Fargo have superior scale, and the company competes by emphasizing operational efficiency and payments expertise rather than trying to 'beat' larger rivals [1]. Management's language focuses on earning 'best-in-class efficiency ratio' and 'industry-leading returns' through self-improvement. The Amazon partnership reflects learning from fintech rivals' strengths in embedded finance rather than trying to destroy them — a clear infinite-game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USB has evolved incrementally — the $8B Union Bank acquisition expanded geographic reach to the West Coast, the Amazon partnership represents a new embedded finance distribution model, and the $2.6B technology investment signals willingness to modernize [1][5]. Q2 2026 fee income growth of 13.2% shows the diversification strategy is working. These are meaningful strategic adaptations but not transformative reinventions — USB has not fundamentally redefined its business model or abandoned a core business line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USB's management has demonstrated measured courage — investing $2.6B annually in technology during margin compression, committing to the Amazon partnership that could cannibalize traditional lending channels, maintaining the dividend through Union Bank integration costs, and promoting Gunjan Kedia as CEO (first woman to lead a top-5 US bank) in a still male-dominated industry [1][2][5]. However, these are competent strategic decisions rather than costly, transformative long-term bets that the market penalized.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Bancorp delivered a record Q2 2026 with revenue of $7.71B (+10.1% YoY), adjusted EPS of $1.35 (+22%), NII of $4.4B (+7.5%), and fee income up 13.2%, prompting management to raise full-year 2026 guidance to 7-9% revenue growth from the prior 4-6% range [1]. NIM expanded to 2.79% from 2.66% with management guiding toward 3% by 2027, providing a clear earnings growth trajectory. At 11x forward earnings with a 3.86% dividend yield, $2.08 annual payout, and 16 consecutive years of dividend growth, USB offers attractive income-plus-growth for a diversified banking franchise with $680B+ in assets. The Amazon small business lending partnership launching Q3 2026 ($75-85M projected quarterly revenue) adds a credible new growth vector in embedded finance [5]. MSCI A ESG rating reflects well-managed environmental and governance practices.</w:t>
      </w:r>
    </w:p>
    <w:p>
      <w:pPr>
        <w:spacing w:after="120"/>
      </w:pPr>
      <w:r>
        <w:rPr>
          <w:rFonts w:ascii="Calibri" w:hAnsi="Calibri"/>
          <w:b w:val="0"/>
          <w:color w:val="3A4A28"/>
          <w:sz w:val="20"/>
        </w:rPr>
        <w:t>The primary risk is USB's position as a mid-tier player in an industry where scale advantages are accelerating — JPMorgan and Bank of America can outspend USB on technology by 5-10x, potentially creating a widening gap in AI-driven efficiency and customer experience [5]. ROE of 11.72% remains below the 15% cost-of-equity benchmark and below peers like JPM (17%+), suggesting the Union Bank integration has not yet delivered full return potential. The 5-year dividend growth CAGR of 4.4% barely exceeds inflation, limiting total return for income investors seeking real payout growth. Commercial real estate exposure across the Union Bank portfolio could generate elevated credit losses if office and retail property values decline in a slowing economy. The Inspire Impact Score of -67 (MISALIGNED) due to Abortion Activism and LGBT Activism negative attributions limits allocation for faith-based portfolios despite 15 positive ESG attributions [6]. Rising deposit competition could cap NIM expansion below the 3%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Amazon small business lending partnership launching Q3 2026 with projected $75-85M quarterly revenue contribution, representing a new embedded finance distribution channel that leverages AI-driven credit decisioning [5]</w:t>
      </w:r>
    </w:p>
    <w:p>
      <w:pPr>
        <w:spacing w:before="40" w:after="40"/>
        <w:ind w:left="283"/>
      </w:pPr>
      <w:r>
        <w:rPr>
          <w:rFonts w:ascii="Calibri" w:hAnsi="Calibri"/>
          <w:b/>
          <w:color w:val="4A6B25"/>
          <w:sz w:val="20"/>
        </w:rPr>
        <w:t xml:space="preserve">2. </w:t>
      </w:r>
      <w:r>
        <w:rPr>
          <w:rFonts w:ascii="Calibri" w:hAnsi="Calibri"/>
          <w:b w:val="0"/>
          <w:color w:val="3A4A28"/>
          <w:sz w:val="20"/>
        </w:rPr>
        <w:t>Full-year 2026 revenue guidance raised to 7-9% growth (from 4-6%) following record Q2 revenue of $7.71B, with NIM expansion path toward 3% by 2027 driving continued NII growth [1]</w:t>
      </w:r>
    </w:p>
    <w:p>
      <w:pPr>
        <w:spacing w:before="40" w:after="40"/>
        <w:ind w:left="283"/>
      </w:pPr>
      <w:r>
        <w:rPr>
          <w:rFonts w:ascii="Calibri" w:hAnsi="Calibri"/>
          <w:b/>
          <w:color w:val="4A6B25"/>
          <w:sz w:val="20"/>
        </w:rPr>
        <w:t xml:space="preserve">3. </w:t>
      </w:r>
      <w:r>
        <w:rPr>
          <w:rFonts w:ascii="Calibri" w:hAnsi="Calibri"/>
          <w:b w:val="0"/>
          <w:color w:val="3A4A28"/>
          <w:sz w:val="20"/>
        </w:rPr>
        <w:t>Fee revenue acceleration — Q2 2026 fee income grew 13.2% YoY with full-year guidance of 12-14% growth, diversifying earnings beyond rate-sensitive net interest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Scale disadvantage vs. JPM, BAC, and WFC in technology investment — larger peers can outspend USB 5-10x on AI and digital infrastructure, and USB's cautious 'measure twice, cut once' AI approach may cause it to fall behind more aggressive adopters [5]</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exposure across the Union Bank portfolio could generate elevated credit losses if office and retail property values continue declining, particularly in California markets acquired through the 2022 deal [1]</w:t>
      </w:r>
    </w:p>
    <w:p>
      <w:pPr>
        <w:spacing w:before="40" w:after="40"/>
        <w:ind w:left="283"/>
      </w:pPr>
      <w:r>
        <w:rPr>
          <w:rFonts w:ascii="Calibri" w:hAnsi="Calibri"/>
          <w:b/>
          <w:color w:val="4A6B25"/>
          <w:sz w:val="20"/>
        </w:rPr>
        <w:t xml:space="preserve">3. </w:t>
      </w:r>
      <w:r>
        <w:rPr>
          <w:rFonts w:ascii="Calibri" w:hAnsi="Calibri"/>
          <w:b w:val="0"/>
          <w:color w:val="3A4A28"/>
          <w:sz w:val="20"/>
        </w:rPr>
        <w:t>ROE of 11.72% remains below the 15% cost-of-equity benchmark, and if NIM expansion stalls at 2.79% due to deposit competition or rate cuts, the earnings growth trajectory flattens and the valuation premium to book becomes harder to justify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USB's core business — holding deposits, underwriting loans, processing payments, and managing wealth — requires regulatory licenses, physical branch infrastructure, and decades of institutional trust that AI cannot replicate [2]. The banking charter and regulatory moat provide structural protection from AI-native fintechs. However, AI-powered neobanks (Chime, SoFi) and embedded finance platforms continue capturing younger demographics, and AI-driven underwriting could compress margins in consumer lending. The payments business faces competition from AI-enabled payment processors, though USB's scale and merchant network create switching costs. USB's cautious 'measure twice, cut once' AI philosophy via its AI Center of Excellence may cause it to fall behind more aggressive adopters [5]. AI Opportunity (1/1): USB has deployed AI across fraud detection, cash forecasting for commercial clients, and customer service automation, with $2.6B annual technology investment supporting agentic AI exploration. The Amazon small business lending partnership leverages AI-driven credit decisioning and is projected to contribute $75-85M in quarterly revenue starting Q3 2026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Bancorp Q2 2026 Earnings Release and Call — Record Revenue $7.71B (+10.1%), NII $4.4B (+7.5%), Adjusted EPS $1.35 (+22%), Fee Income +13.2%, Guidance Raised to 7-9% Revenue Growth, July 2026</w:t>
      </w:r>
    </w:p>
    <w:p>
      <w:pPr>
        <w:spacing w:before="20" w:after="20"/>
        <w:ind w:left="170"/>
      </w:pPr>
      <w:r>
        <w:rPr>
          <w:rFonts w:ascii="Calibri" w:hAnsi="Calibri"/>
          <w:b/>
          <w:color w:val="4A6B25"/>
          <w:sz w:val="15"/>
        </w:rPr>
        <w:t xml:space="preserve">2. </w:t>
      </w:r>
      <w:r>
        <w:rPr>
          <w:rFonts w:ascii="Calibri" w:hAnsi="Calibri"/>
          <w:b w:val="0"/>
          <w:color w:val="3A4A28"/>
          <w:sz w:val="17"/>
        </w:rPr>
        <w:t>U.S. Bancorp Leadership Transition — Gunjan Kedia Named CEO (First Woman to Lead Top-5 US Bank), April 2025; Andy Cecere Remains Executive Chairman</w:t>
      </w:r>
    </w:p>
    <w:p>
      <w:pPr>
        <w:spacing w:before="20" w:after="20"/>
        <w:ind w:left="170"/>
      </w:pPr>
      <w:r>
        <w:rPr>
          <w:rFonts w:ascii="Calibri" w:hAnsi="Calibri"/>
          <w:b/>
          <w:color w:val="4A6B25"/>
          <w:sz w:val="15"/>
        </w:rPr>
        <w:t xml:space="preserve">3. </w:t>
      </w:r>
      <w:r>
        <w:rPr>
          <w:rFonts w:ascii="Calibri" w:hAnsi="Calibri"/>
          <w:b w:val="0"/>
          <w:color w:val="3A4A28"/>
          <w:sz w:val="17"/>
        </w:rPr>
        <w:t>U.S. Bank Corporate Purpose — 'We Invest Our Hearts and Minds to Power Human Potential,' usbank.com,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U.S. Bank Corporate Responsibility — $100B+ Community Development Lending, GRID Alternatives Partnership, U.S. Bank Foundation, usbank.com/sustainability</w:t>
      </w:r>
    </w:p>
    <w:p>
      <w:pPr>
        <w:spacing w:before="20" w:after="20"/>
        <w:ind w:left="170"/>
      </w:pPr>
      <w:r>
        <w:rPr>
          <w:rFonts w:ascii="Calibri" w:hAnsi="Calibri"/>
          <w:b/>
          <w:color w:val="4A6B25"/>
          <w:sz w:val="15"/>
        </w:rPr>
        <w:t xml:space="preserve">5. </w:t>
      </w:r>
      <w:r>
        <w:rPr>
          <w:rFonts w:ascii="Calibri" w:hAnsi="Calibri"/>
          <w:b w:val="0"/>
          <w:color w:val="3A4A28"/>
          <w:sz w:val="17"/>
        </w:rPr>
        <w:t>U.S. Bancorp AI and Digital Strategy — $2.6B Annual Technology Investment, AI Center of Excellence, Amazon Small Business Lending Partnership, Dominic Venturo CDO</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USB Key Statistics: Stock Price $63.81, Forward P/E 11.03x, ROE 11.72%, Profit Margin 28.7%, Dividend Yield 3.86%, Avg Volume 8.8M,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