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VFC</w:t>
      </w:r>
      <w:r>
        <w:rPr>
          <w:rFonts w:ascii="Calibri" w:hAnsi="Calibri"/>
          <w:b/>
          <w:color w:val="1A2010"/>
          <w:sz w:val="40"/>
        </w:rPr>
        <w:t xml:space="preserve">  V.F. Corporation</w:t>
      </w:r>
    </w:p>
    <w:p>
      <w:pPr>
        <w:spacing w:after="120"/>
      </w:pPr>
      <w:r>
        <w:rPr>
          <w:rFonts w:ascii="Calibri" w:hAnsi="Calibri"/>
          <w:b/>
          <w:color w:val="6E8450"/>
          <w:sz w:val="18"/>
        </w:rPr>
        <w:t>DIVIDEND SLEEVE · 2026-08-24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Footwear &amp; Accessories · NYSE · United States</w:t>
      </w:r>
    </w:p>
    <w:p>
      <w:pPr>
        <w:spacing w:after="80"/>
      </w:pPr>
      <w:r>
        <w:rPr>
          <w:rFonts w:ascii="Calibri" w:hAnsi="Calibri"/>
          <w:b w:val="0"/>
          <w:color w:val="3A4A28"/>
          <w:sz w:val="20"/>
        </w:rPr>
        <w:t>V.F. Corporation is a global apparel and footwear holding company whose portfolio includes The North Face, Vans, Timberland, and Dickies, following the 2024 divestiture of Supreme. Under CEO Bracken Darrell (since July 2023), VF is executing a 'Reinvent to Grow' turnaround focused on debt reduction, portfolio simplification, and brand reinvestment after several years of declining revenue and a slashed dividend. FY2026 marked a return to modest revenue growth (+1.1%), led by The North Face (+5%+) while Vans remains roughly flat globally despite early signs of stabilization in the Americas.</w:t>
      </w:r>
    </w:p>
    <w:p>
      <w:r>
        <w:rPr>
          <w:rFonts w:ascii="Calibri" w:hAnsi="Calibri"/>
          <w:b/>
          <w:color w:val="6E8450"/>
          <w:sz w:val="18"/>
        </w:rPr>
        <w:t>28,000 Employees · https://www.vfc.com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VF's 'Reinvent to Grow' plan under Darrell is a financial and operational restructuring — debt paydown, brand simplification via the Supreme sale — rather than a product or business-model transformation; FY2026 revenue grew only 1.1% and remains 19% below FY2022 levels [1]. AI Deployment (0/2): No evidence of shipped AI products or quantified AI-driven savings was found in company disclosures or press coverage. Market Share (1/2): The North Face is a share leader in outdoor apparel, but Vans continues to cede ground in casual/skate footwear to Crocs, On, and Hoka, making VF a mixed, non-dominant portfolio [1]. Product Pipeline (0/2): Darrell's 'Elevate Design' and 'Modernize Marketing' pillars are strategic themes, not specific next-generation products with named launch dates [2]. R&amp;D Intensity (0/1): No above-industry R&amp;D spend was identified; VF does not break out R&amp;D as a competitive lever.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VF's stated purpose — 'powering movements of sustainable and active lifestyles for the betterment of people and our planet' — is clear but reads close to industry boilerplate for outdoor/lifestyle apparel companies and has not visibly steered the current turnaround, which is centered on cost cuts and debt reduction [3]. Community Impact (1/2): VF holds the apparel industry's largest renewable-energy tax equity investment (four utility-scale solar projects) and has issued two green bonds, but no specific charitable dollar figures were found [3]. Employee Retention (0/2): 12 of VF's 15 executive team seats turned over under Darrell, indicating significant leadership churn rather than retention strength; no broad workforce tenure data was found [2]. Insider Buying (0/2): No evidence of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VF's balance sheet remains the central weakness — D/E of ~281% sits far above the 70% target [4]. ROE of 17.94% and Forward P/E of 12.48x are healthy, and revenue growth has turned modestly positive (+1.06% FY2026), but 5yr revenue CAGR is roughly -5% reflecting the multi-year post-pandemic decline and 2024 Supreme divestiture [4]. Profit margin of 2.88% is thin for the sector. On dividends, VF has an unbroken 53-year payment history (2x weight) but consecutive dividend growth resets to 0 after the ~70% cut in November 2023, and the trailing 5yr dividend growth CAGR is deeply negative (2x weight), both weighing heavily on the score [4][5]. Liquidity is not a concern: ~6.3M shares/day at $14.37 clears the $1M floor by a wide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VF Corp is currently playing a finite game centered on balance-sheet survival rather than a consistently held Just Cause. The 2023 dividend cut, 2024 Supreme divestiture, and near-total executive team turnover reflect a company in crisis-driven restructuring mode under activist investor pressure, not one executing a long-held strategic vision. Some genuine courage is evident in the willingness to sacrifice the dividend and sell a marquee brand at a loss to protect long-term solvency, but organizational trust and a differentiated Just Cause are not well evidenced.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VF's sustainability-linked purpose statement exists but reads as standard industry language rather than a cause driving strategic decisions; the current transformation plan is explicitly framed around financial recovery (debt reduction, margin expansion) rather than purpose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12 of 15 executive roles turned over under the new CEO, and the company has undergone multiple rounds of restructuring and layoffs as part of its transformation plan — evidence of organizational disruption rather than a stable circle of safety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VF framing competition (Crocs, Deckers/Hoka, On) as a source of self-improvement versus a battle to win; competitive commentary in earnings materials is largely internal-execution focused.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VF shifted from a serial-acquisition, multi-brand roll-up strategy to portfolio simplification — divesting Supreme in 2024 at a loss versus its 2020 purchase price — but this was a reactive response to activist pressure and balance-sheet strain rather than a proactive bet on a new Just Cause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Cutting the dividend roughly 70% in November 2023 and selling Supreme at a markdown were painful, near-term-costly decisions made explicitly to protect long-term balance-sheet capacity, showing some willingness to prioritize durability over shareholder optics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VF Corp trades at a depressed 12.48x forward P/E after a multi-year decline that saw revenue fall from $11.8B (FY2022) to under $9.6B and the dividend cut roughly 70% in November 2023 [1][4]. The Bracken Darrell-led turnaround is showing early traction — FY2026 marked a return to full-year revenue growth (+1.1%, +4% ex-Dickies) with gross margin up 130bps to 54.8%, driven by The North Face's global strength (+5%+ for the year, Americas +16% in Q4) and stabilizing net debt (down 21% YoY in a recent quarter) [1]. A 2.51% dividend yield, 53-year unbroken payment history, and continued balance-sheet repair provide a floor for patient dividend investors willing to underwrite the turnaround thesis.</w:t>
      </w:r>
    </w:p>
    <w:p>
      <w:pPr>
        <w:spacing w:after="120"/>
      </w:pPr>
      <w:r>
        <w:rPr>
          <w:rFonts w:ascii="Calibri" w:hAnsi="Calibri"/>
          <w:b w:val="0"/>
          <w:color w:val="3A4A28"/>
          <w:sz w:val="20"/>
        </w:rPr>
        <w:t>The bear case is substantial: D/E of ~281% remains far above a healthy leverage profile, profit margin of just 2.88% leaves little cushion, and Vans — historically VF's most profitable brand — is still roughly flat globally with only nascent signs of life in Americas DTC after four years of decline [1][4]. Innovation evidence is thin (score of 2/10) — the transformation plan is a cost and balance-sheet exercise, not a product or category reinvention, and 12 of 15 executive seats turning over introduces execution risk. The 5-year revenue CAGR of roughly -5% and a broken dividend-growth streak (5yr dividend CAGR of -28.6%) reflect a company still recovering from a self-inflicted crisis rather than compounding value, and the Inspire Impact Score of -67 (MISALIGNED) is a further headwind for faith-based allocators.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North Face momentum (Americas DTC +16% in Q4 FY2026) and a genuine Vans inflection — Americas DTC returned to growth for the first time in four years — could validate the multi-brand turnaround thesis [1]</w:t>
      </w:r>
    </w:p>
    <w:p>
      <w:pPr>
        <w:spacing w:before="40" w:after="40"/>
        <w:ind w:left="283"/>
      </w:pPr>
      <w:r>
        <w:rPr>
          <w:rFonts w:ascii="Calibri" w:hAnsi="Calibri"/>
          <w:b/>
          <w:color w:val="4A6B25"/>
          <w:sz w:val="20"/>
        </w:rPr>
        <w:t xml:space="preserve">2. </w:t>
      </w:r>
      <w:r>
        <w:rPr>
          <w:rFonts w:ascii="Calibri" w:hAnsi="Calibri"/>
          <w:b w:val="0"/>
          <w:color w:val="3A4A28"/>
          <w:sz w:val="20"/>
        </w:rPr>
        <w:t>Further net debt reduction (down 21% YoY in a recent quarter) toward investment-grade metrics would de-risk the balance sheet and could support a future dividend recovery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(gross margin +130bps to 54.8% in FY2026) from SKU rationalization and supply chain simplification under the 'Reinvent to Grow' plan could flow through to EPS faster than revenue recovers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~281%, more than 4x the 70% target) leaves VF with limited flexibility if the consumer discretionary environment weakens or Vans fails to sustain its early stabilization [4]</w:t>
      </w:r>
    </w:p>
    <w:p>
      <w:pPr>
        <w:spacing w:before="40" w:after="40"/>
        <w:ind w:left="283"/>
      </w:pPr>
      <w:r>
        <w:rPr>
          <w:rFonts w:ascii="Calibri" w:hAnsi="Calibri"/>
          <w:b/>
          <w:color w:val="4A6B25"/>
          <w:sz w:val="20"/>
        </w:rPr>
        <w:t xml:space="preserve">2. </w:t>
      </w:r>
      <w:r>
        <w:rPr>
          <w:rFonts w:ascii="Calibri" w:hAnsi="Calibri"/>
          <w:b w:val="0"/>
          <w:color w:val="3A4A28"/>
          <w:sz w:val="20"/>
        </w:rPr>
        <w:t>Persistent Vans softness — down 1% globally in Q4 FY2026 — in VF's historically highest-margin brand threatens the pace of margin recovery central to the turnaround thesis [1]</w:t>
      </w:r>
    </w:p>
    <w:p>
      <w:pPr>
        <w:spacing w:before="40" w:after="40"/>
        <w:ind w:left="283"/>
      </w:pPr>
      <w:r>
        <w:rPr>
          <w:rFonts w:ascii="Calibri" w:hAnsi="Calibri"/>
          <w:b/>
          <w:color w:val="4A6B25"/>
          <w:sz w:val="20"/>
        </w:rPr>
        <w:t xml:space="preserve">3. </w:t>
      </w:r>
      <w:r>
        <w:rPr>
          <w:rFonts w:ascii="Calibri" w:hAnsi="Calibri"/>
          <w:b w:val="0"/>
          <w:color w:val="3A4A28"/>
          <w:sz w:val="20"/>
        </w:rPr>
        <w:t>Executive team turnover (12 of 15 seats) under the new CEO creates institutional-knowledge and execution risk during a multi-year, complex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VF's core business is physical apparel and footwear design, manufacturing, and wholesale/retail distribution — a business model that AI cannot directly substitute, and brand equity (Vans, The North Face) provides some insulation from AI-driven commoditization. No analyst commentary was found flagging AI as a specific disruption risk to VF, but the company has also not disclosed material AI deployment in design, supply chain, or marketing that would elevate it toward the 'immune' tier. AI Opportunity (0/1): No quantifiable AI-related revenue or cost savings were identified in company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VF Corporation Q2/Q3/Full-Year FY2026 earnings releases and coverage — Investing.com, FashionNetwork, SGI Europe, Shop Eat Surf Outdoor, August 2026</w:t>
      </w:r>
    </w:p>
    <w:p>
      <w:pPr>
        <w:spacing w:before="20" w:after="20"/>
        <w:ind w:left="170"/>
      </w:pPr>
      <w:r>
        <w:rPr>
          <w:rFonts w:ascii="Calibri" w:hAnsi="Calibri"/>
          <w:b/>
          <w:color w:val="4A6B25"/>
          <w:sz w:val="15"/>
        </w:rPr>
        <w:t xml:space="preserve">2. </w:t>
      </w:r>
      <w:r>
        <w:rPr>
          <w:rFonts w:ascii="Calibri" w:hAnsi="Calibri"/>
          <w:b w:val="0"/>
          <w:color w:val="3A4A28"/>
          <w:sz w:val="17"/>
        </w:rPr>
        <w:t>VF Corp CEO Bracken Darrell appointment, 'Reinvent to Grow' turnaround strategy — Just-Style, Yahoo Finance, SGB Media, 2023-2026</w:t>
      </w:r>
    </w:p>
    <w:p>
      <w:pPr>
        <w:spacing w:before="20" w:after="20"/>
        <w:ind w:left="170"/>
      </w:pPr>
      <w:r>
        <w:rPr>
          <w:rFonts w:ascii="Calibri" w:hAnsi="Calibri"/>
          <w:b/>
          <w:color w:val="4A6B25"/>
          <w:sz w:val="15"/>
        </w:rPr>
        <w:t xml:space="preserve">3. </w:t>
      </w:r>
      <w:r>
        <w:rPr>
          <w:rFonts w:ascii="Calibri" w:hAnsi="Calibri"/>
          <w:b w:val="0"/>
          <w:color w:val="3A4A28"/>
          <w:sz w:val="17"/>
        </w:rPr>
        <w:t>VF Corp FY2025 Environmental &amp; Social Responsibility Report; ESG ratings — CSRHub, Yahoo Finance Sustainability, WWD</w:t>
      </w:r>
    </w:p>
    <w:p>
      <w:pPr>
        <w:spacing w:before="20" w:after="20"/>
        <w:ind w:left="170"/>
      </w:pPr>
      <w:r>
        <w:rPr>
          <w:rFonts w:ascii="Calibri" w:hAnsi="Calibri"/>
          <w:b/>
          <w:color w:val="4A6B25"/>
          <w:sz w:val="15"/>
        </w:rPr>
        <w:t xml:space="preserve">4. </w:t>
      </w:r>
      <w:r>
        <w:rPr>
          <w:rFonts w:ascii="Calibri" w:hAnsi="Calibri"/>
          <w:b w:val="0"/>
          <w:color w:val="3A4A28"/>
          <w:sz w:val="17"/>
        </w:rPr>
        <w:t>StockAnalysis.com — VFC key statistics, financial ratios, and financial statements,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VF Corp dividend history and November 2023 dividend cut — TipRanks, SEC 10-Q filings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